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F02AE">
      <w:pPr>
        <w:pStyle w:val="4"/>
        <w:keepNext w:val="0"/>
        <w:keepLines w:val="0"/>
        <w:pageBreakBefore w:val="0"/>
        <w:widowControl w:val="0"/>
        <w:kinsoku w:val="0"/>
        <w:wordWrap w:val="0"/>
        <w:overflowPunct/>
        <w:topLinePunct/>
        <w:autoSpaceDE/>
        <w:autoSpaceDN/>
        <w:bidi w:val="0"/>
        <w:adjustRightInd/>
        <w:snapToGrid/>
        <w:spacing w:before="0" w:after="0"/>
        <w:jc w:val="center"/>
        <w:textAlignment w:val="auto"/>
        <w:rPr>
          <w:rFonts w:hint="eastAsia" w:ascii="方正仿宋简体" w:hAnsi="方正仿宋简体" w:eastAsia="方正仿宋简体" w:cs="方正仿宋简体"/>
          <w:sz w:val="22"/>
          <w:szCs w:val="22"/>
        </w:rPr>
      </w:pPr>
      <w:bookmarkStart w:id="0" w:name="第五单元-晚清时期的内忧外患与救亡图存大单元设计"/>
      <w:bookmarkStart w:id="13" w:name="_GoBack"/>
      <w:r>
        <w:rPr>
          <w:rFonts w:hint="eastAsia" w:ascii="方正仿宋简体" w:hAnsi="方正仿宋简体" w:eastAsia="方正仿宋简体" w:cs="方正仿宋简体"/>
          <w:i w:val="0"/>
          <w:sz w:val="22"/>
          <w:szCs w:val="22"/>
          <w:lang w:val="en-US" w:eastAsia="zh-CN"/>
        </w:rPr>
        <w:t xml:space="preserve"> </w:t>
      </w:r>
      <w:r>
        <w:rPr>
          <w:rFonts w:hint="eastAsia" w:ascii="方正仿宋简体" w:hAnsi="方正仿宋简体" w:eastAsia="方正仿宋简体" w:cs="方正仿宋简体"/>
          <w:i w:val="0"/>
          <w:sz w:val="22"/>
          <w:szCs w:val="22"/>
        </w:rPr>
        <w:t>第五单元 晚清时期的内忧外患与救亡图存</w:t>
      </w:r>
      <w:r>
        <w:rPr>
          <w:rFonts w:hint="eastAsia" w:ascii="方正仿宋简体" w:hAnsi="方正仿宋简体" w:eastAsia="方正仿宋简体" w:cs="方正仿宋简体"/>
          <w:i w:val="0"/>
          <w:sz w:val="22"/>
          <w:szCs w:val="22"/>
          <w:lang w:val="en-US" w:eastAsia="zh-CN"/>
        </w:rPr>
        <w:t xml:space="preserve">  </w:t>
      </w:r>
      <w:r>
        <w:rPr>
          <w:rFonts w:hint="eastAsia" w:ascii="方正仿宋简体" w:hAnsi="方正仿宋简体" w:eastAsia="方正仿宋简体" w:cs="方正仿宋简体"/>
          <w:i w:val="0"/>
          <w:sz w:val="22"/>
          <w:szCs w:val="22"/>
        </w:rPr>
        <w:t>大单元设计</w:t>
      </w:r>
    </w:p>
    <w:bookmarkEnd w:id="13"/>
    <w:tbl>
      <w:tblPr>
        <w:tblStyle w:val="28"/>
        <w:tblW w:w="5000" w:type="pct"/>
        <w:tblInd w:w="0" w:type="dxa"/>
        <w:tblLayout w:type="autofit"/>
        <w:tblCellMar>
          <w:top w:w="0" w:type="dxa"/>
          <w:left w:w="108" w:type="dxa"/>
          <w:bottom w:w="0" w:type="dxa"/>
          <w:right w:w="108" w:type="dxa"/>
        </w:tblCellMar>
      </w:tblPr>
      <w:tblGrid>
        <w:gridCol w:w="4152"/>
        <w:gridCol w:w="5522"/>
        <w:gridCol w:w="514"/>
      </w:tblGrid>
      <w:tr w14:paraId="06F4AE35">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14:paraId="459C8EA3">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课标要求</w:t>
            </w:r>
          </w:p>
        </w:tc>
        <w:tc>
          <w:tcPr>
            <w:tcBorders>
              <w:top w:val="single" w:color="000000" w:sz="4" w:space="0"/>
              <w:left w:val="single" w:color="000000" w:sz="4" w:space="0"/>
              <w:bottom w:val="single" w:color="000000" w:sz="4" w:space="0"/>
              <w:right w:val="single" w:color="000000" w:sz="4" w:space="0"/>
            </w:tcBorders>
            <w:shd w:val="clear" w:color="auto" w:fill="D9D9D9"/>
            <w:vAlign w:val="center"/>
          </w:tcPr>
          <w:p w14:paraId="65E33958">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70418F4E">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376B81A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单元对应《普通高中历史课程标准（2017年版2020年修订）》必修课程“中外历史纲要”中的专题五“晚清时期的内忧外患与救亡图存”。学生需了解19世纪中期至20世纪初中国社会面临的深重危机，认识两次鸦片战争对中国主权的破坏和半殖民地化进程的加深；理解太平天国运动、洋务运动、戊戌变法、义和团运动等重大事件的背景、过程与影响，分析近代中国人在探索国家出路过程中所表现出的抗争精神与变革思想；掌握辛亥革命推翻帝制、建立共和的历史意义，以及北洋军阀统治时期的政治格局。通过学习，学生应形成对中华民族在危难中奋起、不断追求民族独立和国家富强的深刻认同，培养家国情怀，并能运用唯物史观，从内外因结合的角度分析晚清社会巨变的根本原因，提升史料实证与历史解释能力。</w:t>
            </w:r>
          </w:p>
        </w:tc>
        <w:tc>
          <w:tcPr>
            <w:tcBorders>
              <w:top w:val="single" w:color="000000" w:sz="4" w:space="0"/>
              <w:left w:val="single" w:color="000000" w:sz="4" w:space="0"/>
              <w:bottom w:val="single" w:color="000000" w:sz="4" w:space="0"/>
              <w:right w:val="single" w:color="000000" w:sz="4" w:space="0"/>
            </w:tcBorders>
            <w:vAlign w:val="center"/>
          </w:tcPr>
          <w:p w14:paraId="36975392">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39ACA2EA">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7312AC2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教材分析</w:t>
            </w:r>
          </w:p>
        </w:tc>
        <w:tc>
          <w:tcPr>
            <w:tcBorders>
              <w:top w:val="single" w:color="000000" w:sz="4" w:space="0"/>
              <w:left w:val="single" w:color="000000" w:sz="4" w:space="0"/>
              <w:bottom w:val="single" w:color="000000" w:sz="4" w:space="0"/>
              <w:right w:val="single" w:color="000000" w:sz="4" w:space="0"/>
            </w:tcBorders>
            <w:vAlign w:val="center"/>
          </w:tcPr>
          <w:p w14:paraId="2D2EB028">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72654840">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1D62F640">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单元以“晚清时期的内忧外患与救亡图存”为主题，系统梳理了从1840年鸦片战争爆发到1912年清朝灭亡这七十余年的历史。教材内容逻辑清晰，层层递进：第15课《两次鸦片战争》是起点，揭示了西方列强凭借坚船利炮强行打开中国大门，迫使中国签订不平等条约，逐步沦为半殖民地半封建社会的开端。第16课《国家出路的探索与列强侵略的加剧》聚焦于国内应对，展现了农民阶级的太平天国运动和地主阶级的洋务运动两种不同性质的自救尝试，同时指出甲午中日战争的惨败宣告了洋务自强梦想的破灭，列强掀起了瓜分中国的狂潮。第17课《挽救民族危亡的斗争》则上升到资产阶级维新派的戊戌变法和以农民为主体的义和团运动，体现了救亡图存斗争的深化与复杂化。整个单元以民族危机的步步加深为经线，以不同阶级的救国探索为纬线，构建了一幅波澜壮阔的历史画卷。教材注重史论结合，引用了《南京条约》、《马关条约》、《辛丑条约》等关键条约原文，辅以《时局图》等经典图像史料，生动再现了“弱国无外交”的悲惨现实和中国人民不屈不挠的抗争精神。</w:t>
            </w:r>
          </w:p>
        </w:tc>
        <w:tc>
          <w:tcPr>
            <w:tcBorders>
              <w:top w:val="single" w:color="000000" w:sz="4" w:space="0"/>
              <w:left w:val="single" w:color="000000" w:sz="4" w:space="0"/>
              <w:bottom w:val="single" w:color="000000" w:sz="4" w:space="0"/>
              <w:right w:val="single" w:color="000000" w:sz="4" w:space="0"/>
            </w:tcBorders>
            <w:vAlign w:val="center"/>
          </w:tcPr>
          <w:p w14:paraId="2943DF9A">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6452B1EB">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5140EFCD">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学情分析</w:t>
            </w:r>
          </w:p>
        </w:tc>
        <w:tc>
          <w:tcPr>
            <w:tcBorders>
              <w:top w:val="single" w:color="000000" w:sz="4" w:space="0"/>
              <w:left w:val="single" w:color="000000" w:sz="4" w:space="0"/>
              <w:bottom w:val="single" w:color="000000" w:sz="4" w:space="0"/>
              <w:right w:val="single" w:color="000000" w:sz="4" w:space="0"/>
            </w:tcBorders>
            <w:vAlign w:val="center"/>
          </w:tcPr>
          <w:p w14:paraId="4519D939">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079F488D">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5E399B08">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高一学生在初中阶段已初步接触过鸦片战争、太平天国、洋务运动、甲午战争、戊戌变法等重大事件，具备一定的知识基础。但他们的认知多停留在事件的表层，如时间、地点、人物、结果，对于事件背后的深层原因、各事件之间的内在联系、以及不同救国方案的局限性缺乏系统而深刻的思考。例如，学生可能知道林则徐虎门销烟，但未必理解其作为传统“天朝上国”观念下的禁烟行动与近代国际法冲突的本质；可能知道洋务运动“师夷长技”，但对其“中体西用”指导思想的保守性和最终失败的根本原因认识模糊。此外，学生的情感态度往往偏向于简单的民族主义情绪，容易将历史人物脸谱化。因此，教学的关键在于引导学生超越“知其然”的层面，深入探究“所以然”，帮助他们建立起宏观的历史脉络，理解近代中国社会转型的艰难曲折，从而更全面、客观地评价历史人物和事件，培养理性思辨能力。</w:t>
            </w:r>
          </w:p>
        </w:tc>
        <w:tc>
          <w:tcPr>
            <w:tcBorders>
              <w:top w:val="single" w:color="000000" w:sz="4" w:space="0"/>
              <w:left w:val="single" w:color="000000" w:sz="4" w:space="0"/>
              <w:bottom w:val="single" w:color="000000" w:sz="4" w:space="0"/>
              <w:right w:val="single" w:color="000000" w:sz="4" w:space="0"/>
            </w:tcBorders>
            <w:vAlign w:val="center"/>
          </w:tcPr>
          <w:p w14:paraId="7C6D3795">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46A36810">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1A6B711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单元结构图</w:t>
            </w:r>
          </w:p>
        </w:tc>
        <w:tc>
          <w:tcPr>
            <w:tcBorders>
              <w:top w:val="single" w:color="000000" w:sz="4" w:space="0"/>
              <w:left w:val="single" w:color="000000" w:sz="4" w:space="0"/>
              <w:bottom w:val="single" w:color="000000" w:sz="4" w:space="0"/>
              <w:right w:val="single" w:color="000000" w:sz="4" w:space="0"/>
            </w:tcBorders>
            <w:vAlign w:val="center"/>
          </w:tcPr>
          <w:p w14:paraId="644A22AC">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00C951F2">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455AB44C">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drawing>
                <wp:inline distT="0" distB="0" distL="114300" distR="114300">
                  <wp:extent cx="3769995" cy="7099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rcRect b="22361"/>
                          <a:stretch>
                            <a:fillRect/>
                          </a:stretch>
                        </pic:blipFill>
                        <pic:spPr>
                          <a:xfrm>
                            <a:off x="0" y="0"/>
                            <a:ext cx="3769995" cy="709930"/>
                          </a:xfrm>
                          <a:prstGeom prst="rect">
                            <a:avLst/>
                          </a:prstGeom>
                        </pic:spPr>
                      </pic:pic>
                    </a:graphicData>
                  </a:graphic>
                </wp:inline>
              </w:drawing>
            </w:r>
          </w:p>
        </w:tc>
        <w:tc>
          <w:tcPr>
            <w:tcBorders>
              <w:top w:val="single" w:color="000000" w:sz="4" w:space="0"/>
              <w:left w:val="single" w:color="000000" w:sz="4" w:space="0"/>
              <w:bottom w:val="single" w:color="000000" w:sz="4" w:space="0"/>
              <w:right w:val="single" w:color="000000" w:sz="4" w:space="0"/>
            </w:tcBorders>
            <w:vAlign w:val="center"/>
          </w:tcPr>
          <w:p w14:paraId="3A38237D">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4EEF5A94">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4893F39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单元课时规划</w:t>
            </w:r>
          </w:p>
        </w:tc>
        <w:tc>
          <w:tcPr>
            <w:tcBorders>
              <w:top w:val="single" w:color="000000" w:sz="4" w:space="0"/>
              <w:left w:val="single" w:color="000000" w:sz="4" w:space="0"/>
              <w:bottom w:val="single" w:color="000000" w:sz="4" w:space="0"/>
              <w:right w:val="single" w:color="000000" w:sz="4" w:space="0"/>
            </w:tcBorders>
            <w:vAlign w:val="center"/>
          </w:tcPr>
          <w:p w14:paraId="2227010C">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1339618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675073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序号</w:t>
            </w:r>
          </w:p>
        </w:tc>
        <w:tc>
          <w:tcPr>
            <w:tcBorders>
              <w:top w:val="single" w:color="000000" w:sz="4" w:space="0"/>
              <w:left w:val="single" w:color="000000" w:sz="4" w:space="0"/>
              <w:bottom w:val="single" w:color="000000" w:sz="4" w:space="0"/>
              <w:right w:val="single" w:color="000000" w:sz="4" w:space="0"/>
            </w:tcBorders>
            <w:vAlign w:val="center"/>
          </w:tcPr>
          <w:p w14:paraId="08AF6E06">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课题</w:t>
            </w:r>
          </w:p>
        </w:tc>
        <w:tc>
          <w:tcPr>
            <w:tcBorders>
              <w:top w:val="single" w:color="000000" w:sz="4" w:space="0"/>
              <w:left w:val="single" w:color="000000" w:sz="4" w:space="0"/>
              <w:bottom w:val="single" w:color="000000" w:sz="4" w:space="0"/>
              <w:right w:val="single" w:color="000000" w:sz="4" w:space="0"/>
            </w:tcBorders>
            <w:vAlign w:val="center"/>
          </w:tcPr>
          <w:p w14:paraId="473E53DD">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4874C0E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C323DBD">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w:t>
            </w:r>
          </w:p>
        </w:tc>
        <w:tc>
          <w:tcPr>
            <w:tcBorders>
              <w:top w:val="single" w:color="000000" w:sz="4" w:space="0"/>
              <w:left w:val="single" w:color="000000" w:sz="4" w:space="0"/>
              <w:bottom w:val="single" w:color="000000" w:sz="4" w:space="0"/>
              <w:right w:val="single" w:color="000000" w:sz="4" w:space="0"/>
            </w:tcBorders>
            <w:vAlign w:val="center"/>
          </w:tcPr>
          <w:p w14:paraId="72EF5ED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第15课 两次鸦片战争</w:t>
            </w:r>
          </w:p>
        </w:tc>
        <w:tc>
          <w:tcPr>
            <w:tcBorders>
              <w:top w:val="single" w:color="000000" w:sz="4" w:space="0"/>
              <w:left w:val="single" w:color="000000" w:sz="4" w:space="0"/>
              <w:bottom w:val="single" w:color="000000" w:sz="4" w:space="0"/>
              <w:right w:val="single" w:color="000000" w:sz="4" w:space="0"/>
            </w:tcBorders>
            <w:vAlign w:val="center"/>
          </w:tcPr>
          <w:p w14:paraId="3BF4FB88">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6ABB7F8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680A600">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2</w:t>
            </w:r>
          </w:p>
        </w:tc>
        <w:tc>
          <w:tcPr>
            <w:tcBorders>
              <w:top w:val="single" w:color="000000" w:sz="4" w:space="0"/>
              <w:left w:val="single" w:color="000000" w:sz="4" w:space="0"/>
              <w:bottom w:val="single" w:color="000000" w:sz="4" w:space="0"/>
              <w:right w:val="single" w:color="000000" w:sz="4" w:space="0"/>
            </w:tcBorders>
            <w:vAlign w:val="center"/>
          </w:tcPr>
          <w:p w14:paraId="3539BB3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第16课 国家出路的探索与列强侵略的加剧</w:t>
            </w:r>
          </w:p>
        </w:tc>
        <w:tc>
          <w:tcPr>
            <w:tcBorders>
              <w:top w:val="single" w:color="000000" w:sz="4" w:space="0"/>
              <w:left w:val="single" w:color="000000" w:sz="4" w:space="0"/>
              <w:bottom w:val="single" w:color="000000" w:sz="4" w:space="0"/>
              <w:right w:val="single" w:color="000000" w:sz="4" w:space="0"/>
            </w:tcBorders>
            <w:vAlign w:val="center"/>
          </w:tcPr>
          <w:p w14:paraId="63FDEB4B">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031AC69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CAB6ED7">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3</w:t>
            </w:r>
          </w:p>
        </w:tc>
        <w:tc>
          <w:tcPr>
            <w:tcBorders>
              <w:top w:val="single" w:color="000000" w:sz="4" w:space="0"/>
              <w:left w:val="single" w:color="000000" w:sz="4" w:space="0"/>
              <w:bottom w:val="single" w:color="000000" w:sz="4" w:space="0"/>
              <w:right w:val="single" w:color="000000" w:sz="4" w:space="0"/>
            </w:tcBorders>
            <w:vAlign w:val="center"/>
          </w:tcPr>
          <w:p w14:paraId="7E0FBCBD">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第17课 挽救民族危亡的斗争</w:t>
            </w:r>
          </w:p>
        </w:tc>
        <w:tc>
          <w:tcPr>
            <w:tcBorders>
              <w:top w:val="single" w:color="000000" w:sz="4" w:space="0"/>
              <w:left w:val="single" w:color="000000" w:sz="4" w:space="0"/>
              <w:bottom w:val="single" w:color="000000" w:sz="4" w:space="0"/>
              <w:right w:val="single" w:color="000000" w:sz="4" w:space="0"/>
            </w:tcBorders>
            <w:vAlign w:val="center"/>
          </w:tcPr>
          <w:p w14:paraId="0BCB6626">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2E5C3B76">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1AD4946D">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教学目标</w:t>
            </w:r>
          </w:p>
        </w:tc>
        <w:tc>
          <w:tcPr>
            <w:tcBorders>
              <w:top w:val="single" w:color="000000" w:sz="4" w:space="0"/>
              <w:left w:val="single" w:color="000000" w:sz="4" w:space="0"/>
              <w:bottom w:val="single" w:color="000000" w:sz="4" w:space="0"/>
              <w:right w:val="single" w:color="000000" w:sz="4" w:space="0"/>
            </w:tcBorders>
            <w:vAlign w:val="center"/>
          </w:tcPr>
          <w:p w14:paraId="1A2EBF27">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536CD27F">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6E58F3F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唯物史观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学生能够运用生产力与生产关系、经济基础与上层建筑的矛盾运动原理，分析鸦片战争爆发的根本原因是工业革命后资本主义扩张的需求与中国封建自然经济的矛盾。</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学生能够认识到，太平天国、洋务运动、戊戌变法等一系列救国探索，都是特定历史条件下阶级力量对比和社会主要矛盾发展的产物，其成败得失受制于当时的社会条件。</w:t>
            </w:r>
          </w:p>
          <w:p w14:paraId="089290A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时空观念</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学生能够在地图上准确标出两次鸦片战争、甲午中日战争的主要战场，以及《南京条约》开放的五处通商口岸、《马关条约》割让的台湾及附属岛屿、《辛丑条约》划定的东交民巷使馆界等关键地理信息。</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学生能够按照时间顺序，排列出从1840年鸦片战争到1912年清朝灭亡期间的重大历史事件，构建清晰的时间轴。</w:t>
            </w:r>
          </w:p>
          <w:p w14:paraId="3CE53A29">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史料实证</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学生能够阅读并分析《南京条约》、《马关条约》、《辛丑条约》的核心条款，从中提取有效信息，论证列强如何一步步破坏中国主权，加深中国半殖民地化的程度。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学生能够结合《资政新篇》的内容，评价其在中国近代化发展道路上的进步性与空想性；能够通过比较《时局图》的不同版本，解读其中蕴含的民族危机意识。</w:t>
            </w:r>
          </w:p>
          <w:p w14:paraId="7A1B5C9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历史解释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学生能够解释“半殖民地半封建社会”的概念内涵，即形式上保留着独立的国家和政府，但实际上在政治、经济、外交等方面受到外国帝国主义的控制和支配，同时国内还保留着大量封建剥削制度。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阐述洋务运动“中体西用”思想的含义，即在保持中国封建制度和伦理纲常（“体”）不变的前提下，引进西方先进的科学技术（“用”），并分析这一指导思想的局限性及其导致洋务运动最终失败的必然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学生能够比较分析太平天国运动、洋务运动、戊戌变法三种救国方案在领导阶级、指导思想、目标和方式上的本质区别。</w:t>
            </w:r>
          </w:p>
          <w:p w14:paraId="11B9EBF1">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家国情怀</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学生能够从林则徐、魏源“开眼看世界”的勇气，到康有为、梁启超为变法流血牺牲的决心中，感悟近代仁人志士深厚的爱国主义精神和勇于担当的时代责任感。</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学生能够通过对这段屈辱与抗争交织历史的学习，深刻理解“落后就要挨打”的历史教训，增强维护国家主权和民族尊严的自觉性，树立为实现中华民族伟大复兴而奋斗的理想信念。</w:t>
            </w:r>
          </w:p>
        </w:tc>
        <w:tc>
          <w:tcPr>
            <w:tcBorders>
              <w:top w:val="single" w:color="000000" w:sz="4" w:space="0"/>
              <w:left w:val="single" w:color="000000" w:sz="4" w:space="0"/>
              <w:bottom w:val="single" w:color="000000" w:sz="4" w:space="0"/>
              <w:right w:val="single" w:color="000000" w:sz="4" w:space="0"/>
            </w:tcBorders>
            <w:vAlign w:val="center"/>
          </w:tcPr>
          <w:p w14:paraId="4A37FDED">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705AD682">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1284876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学习目标</w:t>
            </w:r>
          </w:p>
        </w:tc>
        <w:tc>
          <w:tcPr>
            <w:tcBorders>
              <w:top w:val="single" w:color="000000" w:sz="4" w:space="0"/>
              <w:left w:val="single" w:color="000000" w:sz="4" w:space="0"/>
              <w:bottom w:val="single" w:color="000000" w:sz="4" w:space="0"/>
              <w:right w:val="single" w:color="000000" w:sz="4" w:space="0"/>
            </w:tcBorders>
            <w:vAlign w:val="center"/>
          </w:tcPr>
          <w:p w14:paraId="4B02FA63">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297C2452">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3996FC0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我能通过研读《南京条约》等原始文献，列举出列强通过不平等条约攫取的主要特权（如协定关税、领事裁判权、片面最惠国待遇、租界等），并制作一份“近代中国主权沦丧进程表”，完成度达90%以上。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我能分组扮演“清廷官员”、“洋务派”、“维新派”和“义和团成员”，围绕“如何应对民族危机”展开辩论，清晰地阐述各自立场的观点和依据，并能在教师引导下，总结出不同阶层救国方案的合理之处与致命缺陷，形成一篇不少于300字的小组反思报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我能独立绘制一幅“晚清时期重大战争与条约”思维导图，将战争名称、时间、对手、主要战役、签订条约、核心条款及影响等要素有机串联，准确率不低于85%，并通过口头汇报向全班同学展示我的研究成果。</w:t>
            </w:r>
          </w:p>
        </w:tc>
        <w:tc>
          <w:tcPr>
            <w:tcBorders>
              <w:top w:val="single" w:color="000000" w:sz="4" w:space="0"/>
              <w:left w:val="single" w:color="000000" w:sz="4" w:space="0"/>
              <w:bottom w:val="single" w:color="000000" w:sz="4" w:space="0"/>
              <w:right w:val="single" w:color="000000" w:sz="4" w:space="0"/>
            </w:tcBorders>
            <w:vAlign w:val="center"/>
          </w:tcPr>
          <w:p w14:paraId="7071323F">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5C43A5A9">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0DF7517A">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教学重点</w:t>
            </w:r>
          </w:p>
        </w:tc>
        <w:tc>
          <w:tcPr>
            <w:tcBorders>
              <w:top w:val="single" w:color="000000" w:sz="4" w:space="0"/>
              <w:left w:val="single" w:color="000000" w:sz="4" w:space="0"/>
              <w:bottom w:val="single" w:color="000000" w:sz="4" w:space="0"/>
              <w:right w:val="single" w:color="000000" w:sz="4" w:space="0"/>
            </w:tcBorders>
            <w:vAlign w:val="center"/>
          </w:tcPr>
          <w:p w14:paraId="19CDFF19">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55EAE547">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4D39F08E">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两次鸦片战争的背景、经过和《南京条约》、《天津条约》、《北京条约》的主要内容及其对中国社会产生的深远影响，特别是中国开始沦为半殖民地半封建社会。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太平天国运动的兴衰历程，《天朝田亩制度》和《资政新篇》的基本内容与评价，以及该运动对清王朝统治的沉重打击。</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洋务运动的兴起背景、主要活动（“自强”、“求富”）、代表人物、历史作用与局限性，以及甲午中日战争的失败标志着洋务运动的破产。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维新变法运动（戊戌变法）的背景、主要内容、失败原因及其历史意义，理解改革道路的艰难性。</w:t>
            </w:r>
          </w:p>
        </w:tc>
        <w:tc>
          <w:tcPr>
            <w:tcBorders>
              <w:top w:val="single" w:color="000000" w:sz="4" w:space="0"/>
              <w:left w:val="single" w:color="000000" w:sz="4" w:space="0"/>
              <w:bottom w:val="single" w:color="000000" w:sz="4" w:space="0"/>
              <w:right w:val="single" w:color="000000" w:sz="4" w:space="0"/>
            </w:tcBorders>
            <w:vAlign w:val="center"/>
          </w:tcPr>
          <w:p w14:paraId="3EB7F642">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1EE093D7">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3AD8010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教学难点</w:t>
            </w:r>
          </w:p>
        </w:tc>
        <w:tc>
          <w:tcPr>
            <w:tcBorders>
              <w:top w:val="single" w:color="000000" w:sz="4" w:space="0"/>
              <w:left w:val="single" w:color="000000" w:sz="4" w:space="0"/>
              <w:bottom w:val="single" w:color="000000" w:sz="4" w:space="0"/>
              <w:right w:val="single" w:color="000000" w:sz="4" w:space="0"/>
            </w:tcBorders>
            <w:vAlign w:val="center"/>
          </w:tcPr>
          <w:p w14:paraId="6FF03FA1">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59235E89">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5E5DF723">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准确理解“半殖民地半封建社会”这一核心概念，避免将其简单地等同于“殖民地”或“封建社会”，要从政治、经济、文化等多个维度进行剖析。</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深刻把握“中体西用”思想的双重性：一方面它打破了盲目排外的僵化思想，开启了中国近代化的第一步；另一方面，其根本目的在于维护腐朽的封建统治，这就决定了它不可能成功引领中国走向真正的富强，这是学生最容易产生困惑的地方。</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全面辩证地评价太平天国运动：既要肯定其反抗清朝统治和外来侵略的革命性，也要批判其《天朝田亩制度》绝对平均主义的空想性和后期领导集团的腐败堕落，以及对传统文化的破坏。</w:t>
            </w:r>
          </w:p>
        </w:tc>
        <w:tc>
          <w:tcPr>
            <w:tcBorders>
              <w:top w:val="single" w:color="000000" w:sz="4" w:space="0"/>
              <w:left w:val="single" w:color="000000" w:sz="4" w:space="0"/>
              <w:bottom w:val="single" w:color="000000" w:sz="4" w:space="0"/>
              <w:right w:val="single" w:color="000000" w:sz="4" w:space="0"/>
            </w:tcBorders>
            <w:vAlign w:val="center"/>
          </w:tcPr>
          <w:p w14:paraId="79EC078E">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07AEB40E">
        <w:tblPrEx>
          <w:tblCellMar>
            <w:top w:w="0" w:type="dxa"/>
            <w:left w:w="108" w:type="dxa"/>
            <w:bottom w:w="0" w:type="dxa"/>
            <w:right w:w="108" w:type="dxa"/>
          </w:tblCellMar>
        </w:tblPrEx>
        <w:tc>
          <w:tcPr>
            <w:gridSpan w:val="2"/>
            <w:tcBorders>
              <w:top w:val="single" w:color="000000" w:sz="4" w:space="0"/>
              <w:left w:val="single" w:color="000000" w:sz="4" w:space="0"/>
              <w:bottom w:val="single" w:color="000000" w:sz="4" w:space="0"/>
              <w:right w:val="single" w:color="000000" w:sz="4" w:space="0"/>
            </w:tcBorders>
            <w:vAlign w:val="center"/>
          </w:tcPr>
          <w:p w14:paraId="30E6A25A">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学习评价</w:t>
            </w:r>
          </w:p>
        </w:tc>
        <w:tc>
          <w:tcPr>
            <w:tcBorders>
              <w:top w:val="single" w:color="000000" w:sz="4" w:space="0"/>
              <w:left w:val="single" w:color="000000" w:sz="4" w:space="0"/>
              <w:bottom w:val="single" w:color="000000" w:sz="4" w:space="0"/>
              <w:right w:val="single" w:color="000000" w:sz="4" w:space="0"/>
            </w:tcBorders>
            <w:vAlign w:val="center"/>
          </w:tcPr>
          <w:p w14:paraId="502AB476">
            <w:pPr>
              <w:pStyle w:val="2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rPr>
            </w:pPr>
          </w:p>
        </w:tc>
      </w:tr>
      <w:tr w14:paraId="3D83D52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CB1FCDC">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评价对象</w:t>
            </w:r>
          </w:p>
        </w:tc>
        <w:tc>
          <w:tcPr>
            <w:tcBorders>
              <w:top w:val="single" w:color="000000" w:sz="4" w:space="0"/>
              <w:left w:val="single" w:color="000000" w:sz="4" w:space="0"/>
              <w:bottom w:val="single" w:color="000000" w:sz="4" w:space="0"/>
              <w:right w:val="single" w:color="000000" w:sz="4" w:space="0"/>
            </w:tcBorders>
            <w:vAlign w:val="center"/>
          </w:tcPr>
          <w:p w14:paraId="00FFD76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评价指标</w:t>
            </w:r>
          </w:p>
        </w:tc>
        <w:tc>
          <w:tcPr>
            <w:tcBorders>
              <w:top w:val="single" w:color="000000" w:sz="4" w:space="0"/>
              <w:left w:val="single" w:color="000000" w:sz="4" w:space="0"/>
              <w:bottom w:val="single" w:color="000000" w:sz="4" w:space="0"/>
              <w:right w:val="single" w:color="000000" w:sz="4" w:space="0"/>
            </w:tcBorders>
            <w:vAlign w:val="center"/>
          </w:tcPr>
          <w:p w14:paraId="2D2EF45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评价等级</w:t>
            </w:r>
          </w:p>
        </w:tc>
      </w:tr>
      <w:tr w14:paraId="636EF632">
        <w:tblPrEx>
          <w:tblCellMar>
            <w:top w:w="0" w:type="dxa"/>
            <w:left w:w="108" w:type="dxa"/>
            <w:bottom w:w="0" w:type="dxa"/>
            <w:right w:w="108" w:type="dxa"/>
          </w:tblCellMar>
        </w:tblPrEx>
        <w:tc>
          <w:tcPr>
            <w:vMerge w:val="restart"/>
            <w:tcBorders>
              <w:top w:val="single" w:color="000000" w:sz="4" w:space="0"/>
              <w:left w:val="single" w:color="000000" w:sz="4" w:space="0"/>
              <w:bottom w:val="single" w:color="000000" w:sz="4" w:space="0"/>
              <w:right w:val="single" w:color="000000" w:sz="4" w:space="0"/>
            </w:tcBorders>
            <w:vAlign w:val="center"/>
          </w:tcPr>
          <w:p w14:paraId="367C806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个人作业：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“近代中国主权沦丧进程表”</w:t>
            </w:r>
          </w:p>
        </w:tc>
        <w:tc>
          <w:tcPr>
            <w:tcBorders>
              <w:top w:val="single" w:color="000000" w:sz="4" w:space="0"/>
              <w:left w:val="single" w:color="000000" w:sz="4" w:space="0"/>
              <w:bottom w:val="single" w:color="000000" w:sz="4" w:space="0"/>
              <w:right w:val="single" w:color="000000" w:sz="4" w:space="0"/>
            </w:tcBorders>
            <w:vAlign w:val="center"/>
          </w:tcPr>
          <w:p w14:paraId="0CA43099">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表格项目完整，包含战争、条约、核心条款、影响四要素</w:t>
            </w:r>
          </w:p>
        </w:tc>
        <w:tc>
          <w:tcPr>
            <w:tcBorders>
              <w:top w:val="single" w:color="000000" w:sz="4" w:space="0"/>
              <w:left w:val="single" w:color="000000" w:sz="4" w:space="0"/>
              <w:bottom w:val="single" w:color="000000" w:sz="4" w:space="0"/>
              <w:right w:val="single" w:color="000000" w:sz="4" w:space="0"/>
            </w:tcBorders>
            <w:vAlign w:val="center"/>
          </w:tcPr>
          <w:p w14:paraId="4AFD943B">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0BD5B002">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62EF8D46">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4D04D583">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信息准确，史实无误</w:t>
            </w:r>
          </w:p>
        </w:tc>
        <w:tc>
          <w:tcPr>
            <w:tcBorders>
              <w:top w:val="single" w:color="000000" w:sz="4" w:space="0"/>
              <w:left w:val="single" w:color="000000" w:sz="4" w:space="0"/>
              <w:bottom w:val="single" w:color="000000" w:sz="4" w:space="0"/>
              <w:right w:val="single" w:color="000000" w:sz="4" w:space="0"/>
            </w:tcBorders>
            <w:vAlign w:val="center"/>
          </w:tcPr>
          <w:p w14:paraId="2A5A897E">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518787CE">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3AB545A9">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1C22F786">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条理清晰，易于理解</w:t>
            </w:r>
          </w:p>
        </w:tc>
        <w:tc>
          <w:tcPr>
            <w:tcBorders>
              <w:top w:val="single" w:color="000000" w:sz="4" w:space="0"/>
              <w:left w:val="single" w:color="000000" w:sz="4" w:space="0"/>
              <w:bottom w:val="single" w:color="000000" w:sz="4" w:space="0"/>
              <w:right w:val="single" w:color="000000" w:sz="4" w:space="0"/>
            </w:tcBorders>
            <w:vAlign w:val="center"/>
          </w:tcPr>
          <w:p w14:paraId="398427C8">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74DC23DA">
        <w:tblPrEx>
          <w:tblCellMar>
            <w:top w:w="0" w:type="dxa"/>
            <w:left w:w="108" w:type="dxa"/>
            <w:bottom w:w="0" w:type="dxa"/>
            <w:right w:w="108" w:type="dxa"/>
          </w:tblCellMar>
        </w:tblPrEx>
        <w:tc>
          <w:tcPr>
            <w:vMerge w:val="restart"/>
            <w:tcBorders>
              <w:top w:val="single" w:color="000000" w:sz="4" w:space="0"/>
              <w:left w:val="single" w:color="000000" w:sz="4" w:space="0"/>
              <w:bottom w:val="single" w:color="000000" w:sz="4" w:space="0"/>
              <w:right w:val="single" w:color="000000" w:sz="4" w:space="0"/>
            </w:tcBorders>
            <w:vAlign w:val="center"/>
          </w:tcPr>
          <w:p w14:paraId="5DE66057">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小组活动：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“救国方案”辩论会</w:t>
            </w:r>
          </w:p>
        </w:tc>
        <w:tc>
          <w:tcPr>
            <w:tcBorders>
              <w:top w:val="single" w:color="000000" w:sz="4" w:space="0"/>
              <w:left w:val="single" w:color="000000" w:sz="4" w:space="0"/>
              <w:bottom w:val="single" w:color="000000" w:sz="4" w:space="0"/>
              <w:right w:val="single" w:color="000000" w:sz="4" w:space="0"/>
            </w:tcBorders>
            <w:vAlign w:val="center"/>
          </w:tcPr>
          <w:p w14:paraId="4DCF832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角色立场鲜明，观点明确</w:t>
            </w:r>
          </w:p>
        </w:tc>
        <w:tc>
          <w:tcPr>
            <w:tcBorders>
              <w:top w:val="single" w:color="000000" w:sz="4" w:space="0"/>
              <w:left w:val="single" w:color="000000" w:sz="4" w:space="0"/>
              <w:bottom w:val="single" w:color="000000" w:sz="4" w:space="0"/>
              <w:right w:val="single" w:color="000000" w:sz="4" w:space="0"/>
            </w:tcBorders>
            <w:vAlign w:val="center"/>
          </w:tcPr>
          <w:p w14:paraId="160D69E6">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1DBD2377">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49257355">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46EA8DEB">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论据充分，能引用史实支持观点</w:t>
            </w:r>
          </w:p>
        </w:tc>
        <w:tc>
          <w:tcPr>
            <w:tcBorders>
              <w:top w:val="single" w:color="000000" w:sz="4" w:space="0"/>
              <w:left w:val="single" w:color="000000" w:sz="4" w:space="0"/>
              <w:bottom w:val="single" w:color="000000" w:sz="4" w:space="0"/>
              <w:right w:val="single" w:color="000000" w:sz="4" w:space="0"/>
            </w:tcBorders>
            <w:vAlign w:val="center"/>
          </w:tcPr>
          <w:p w14:paraId="1F3413B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74E7310A">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21EC0BD4">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5A81F0A5">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团队协作，分工合理</w:t>
            </w:r>
          </w:p>
        </w:tc>
        <w:tc>
          <w:tcPr>
            <w:tcBorders>
              <w:top w:val="single" w:color="000000" w:sz="4" w:space="0"/>
              <w:left w:val="single" w:color="000000" w:sz="4" w:space="0"/>
              <w:bottom w:val="single" w:color="000000" w:sz="4" w:space="0"/>
              <w:right w:val="single" w:color="000000" w:sz="4" w:space="0"/>
            </w:tcBorders>
            <w:vAlign w:val="center"/>
          </w:tcPr>
          <w:p w14:paraId="285EFDAE">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29E56FD0">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33D7958A">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22F47FE4">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反思报告能客观分析不同方案的优劣</w:t>
            </w:r>
          </w:p>
        </w:tc>
        <w:tc>
          <w:tcPr>
            <w:tcBorders>
              <w:top w:val="single" w:color="000000" w:sz="4" w:space="0"/>
              <w:left w:val="single" w:color="000000" w:sz="4" w:space="0"/>
              <w:bottom w:val="single" w:color="000000" w:sz="4" w:space="0"/>
              <w:right w:val="single" w:color="000000" w:sz="4" w:space="0"/>
            </w:tcBorders>
            <w:vAlign w:val="center"/>
          </w:tcPr>
          <w:p w14:paraId="5F63DA1F">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0F4F66EC">
        <w:tblPrEx>
          <w:tblCellMar>
            <w:top w:w="0" w:type="dxa"/>
            <w:left w:w="108" w:type="dxa"/>
            <w:bottom w:w="0" w:type="dxa"/>
            <w:right w:w="108" w:type="dxa"/>
          </w:tblCellMar>
        </w:tblPrEx>
        <w:tc>
          <w:tcPr>
            <w:vMerge w:val="restart"/>
            <w:tcBorders>
              <w:top w:val="single" w:color="000000" w:sz="4" w:space="0"/>
              <w:left w:val="single" w:color="000000" w:sz="4" w:space="0"/>
              <w:bottom w:val="single" w:color="000000" w:sz="4" w:space="0"/>
              <w:right w:val="single" w:color="000000" w:sz="4" w:space="0"/>
            </w:tcBorders>
            <w:vAlign w:val="center"/>
          </w:tcPr>
          <w:p w14:paraId="32FC7400">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个人成果：</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“晚清重大战争与条约”思维导图</w:t>
            </w:r>
          </w:p>
        </w:tc>
        <w:tc>
          <w:tcPr>
            <w:tcBorders>
              <w:top w:val="single" w:color="000000" w:sz="4" w:space="0"/>
              <w:left w:val="single" w:color="000000" w:sz="4" w:space="0"/>
              <w:bottom w:val="single" w:color="000000" w:sz="4" w:space="0"/>
              <w:right w:val="single" w:color="000000" w:sz="4" w:space="0"/>
            </w:tcBorders>
            <w:vAlign w:val="center"/>
          </w:tcPr>
          <w:p w14:paraId="306A66A4">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涵盖所有指定要素（战争、时间、对手、条约、条款、影响）</w:t>
            </w:r>
          </w:p>
        </w:tc>
        <w:tc>
          <w:tcPr>
            <w:tcBorders>
              <w:top w:val="single" w:color="000000" w:sz="4" w:space="0"/>
              <w:left w:val="single" w:color="000000" w:sz="4" w:space="0"/>
              <w:bottom w:val="single" w:color="000000" w:sz="4" w:space="0"/>
              <w:right w:val="single" w:color="000000" w:sz="4" w:space="0"/>
            </w:tcBorders>
            <w:vAlign w:val="center"/>
          </w:tcPr>
          <w:p w14:paraId="0FA53A02">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2315635A">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0A86B592">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0480BA66">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要素间逻辑关系正确，连接合理</w:t>
            </w:r>
          </w:p>
        </w:tc>
        <w:tc>
          <w:tcPr>
            <w:tcBorders>
              <w:top w:val="single" w:color="000000" w:sz="4" w:space="0"/>
              <w:left w:val="single" w:color="000000" w:sz="4" w:space="0"/>
              <w:bottom w:val="single" w:color="000000" w:sz="4" w:space="0"/>
              <w:right w:val="single" w:color="000000" w:sz="4" w:space="0"/>
            </w:tcBorders>
            <w:vAlign w:val="center"/>
          </w:tcPr>
          <w:p w14:paraId="3DB6B6D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tr w14:paraId="6F30DE25">
        <w:tblPrEx>
          <w:tblCellMar>
            <w:top w:w="0" w:type="dxa"/>
            <w:left w:w="108" w:type="dxa"/>
            <w:bottom w:w="0" w:type="dxa"/>
            <w:right w:w="108" w:type="dxa"/>
          </w:tblCellMar>
        </w:tblPrEx>
        <w:tc>
          <w:tcPr>
            <w:vMerge w:val="continue"/>
            <w:tcBorders>
              <w:top w:val="single" w:color="000000" w:sz="4" w:space="0"/>
              <w:left w:val="single" w:color="000000" w:sz="4" w:space="0"/>
              <w:bottom w:val="single" w:color="000000" w:sz="4" w:space="0"/>
              <w:right w:val="single" w:color="000000" w:sz="4" w:space="0"/>
            </w:tcBorders>
          </w:tcPr>
          <w:p w14:paraId="3652A4E6">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tc>
        <w:tc>
          <w:tcPr>
            <w:tcBorders>
              <w:top w:val="single" w:color="000000" w:sz="4" w:space="0"/>
              <w:left w:val="single" w:color="000000" w:sz="4" w:space="0"/>
              <w:bottom w:val="single" w:color="000000" w:sz="4" w:space="0"/>
              <w:right w:val="single" w:color="000000" w:sz="4" w:space="0"/>
            </w:tcBorders>
            <w:vAlign w:val="center"/>
          </w:tcPr>
          <w:p w14:paraId="012162F3">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图文并茂，美观整洁</w:t>
            </w:r>
          </w:p>
        </w:tc>
        <w:tc>
          <w:tcPr>
            <w:tcBorders>
              <w:top w:val="single" w:color="000000" w:sz="4" w:space="0"/>
              <w:left w:val="single" w:color="000000" w:sz="4" w:space="0"/>
              <w:bottom w:val="single" w:color="000000" w:sz="4" w:space="0"/>
              <w:right w:val="single" w:color="000000" w:sz="4" w:space="0"/>
            </w:tcBorders>
            <w:vAlign w:val="center"/>
          </w:tcPr>
          <w:p w14:paraId="32FE38D9">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A/B/C</w:t>
            </w:r>
          </w:p>
        </w:tc>
      </w:tr>
      <w:bookmarkEnd w:id="0"/>
    </w:tbl>
    <w:p w14:paraId="1D95F6C0">
      <w:pPr>
        <w:pStyle w:val="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lang w:eastAsia="zh-CN"/>
        </w:rPr>
      </w:pPr>
      <w:bookmarkStart w:id="1" w:name="第一课时教案第15课-两次鸦片战争"/>
      <w:r>
        <w:rPr>
          <w:rFonts w:hint="eastAsia" w:ascii="方正仿宋简体" w:hAnsi="方正仿宋简体" w:eastAsia="方正仿宋简体" w:cs="方正仿宋简体"/>
          <w:i w:val="0"/>
          <w:sz w:val="21"/>
          <w:szCs w:val="21"/>
        </w:rPr>
        <w:t>第一课时教案：</w:t>
      </w:r>
      <w:r>
        <w:rPr>
          <w:rFonts w:hint="eastAsia" w:ascii="方正仿宋简体" w:hAnsi="方正仿宋简体" w:eastAsia="方正仿宋简体" w:cs="方正仿宋简体"/>
          <w:i w:val="0"/>
          <w:sz w:val="21"/>
          <w:szCs w:val="21"/>
          <w:lang w:val="en-US" w:eastAsia="zh-CN"/>
        </w:rPr>
        <w:t xml:space="preserve"> </w:t>
      </w:r>
      <w:r>
        <w:rPr>
          <w:rFonts w:hint="eastAsia" w:ascii="方正仿宋简体" w:hAnsi="方正仿宋简体" w:eastAsia="方正仿宋简体" w:cs="方正仿宋简体"/>
          <w:i w:val="0"/>
          <w:sz w:val="21"/>
          <w:szCs w:val="21"/>
        </w:rPr>
        <w:t>第15课 两次鸦片战争</w:t>
      </w:r>
      <w:r>
        <w:rPr>
          <w:rFonts w:hint="eastAsia" w:ascii="方正仿宋简体" w:hAnsi="方正仿宋简体" w:eastAsia="方正仿宋简体" w:cs="方正仿宋简体"/>
          <w:i w:val="0"/>
          <w:sz w:val="21"/>
          <w:szCs w:val="21"/>
          <w:lang w:val="en-US" w:eastAsia="zh-CN"/>
        </w:rPr>
        <w:t xml:space="preserve"> </w:t>
      </w:r>
    </w:p>
    <w:tbl>
      <w:tblPr>
        <w:tblStyle w:val="28"/>
        <w:tblW w:w="5000" w:type="pct"/>
        <w:tblInd w:w="0" w:type="dxa"/>
        <w:tblLayout w:type="autofit"/>
        <w:tblCellMar>
          <w:top w:w="0" w:type="dxa"/>
          <w:left w:w="108" w:type="dxa"/>
          <w:bottom w:w="0" w:type="dxa"/>
          <w:right w:w="108" w:type="dxa"/>
        </w:tblCellMar>
      </w:tblPr>
      <w:tblGrid>
        <w:gridCol w:w="10188"/>
      </w:tblGrid>
      <w:tr w14:paraId="25DEB788">
        <w:tc>
          <w:tcPr>
            <w:tcBorders>
              <w:top w:val="single" w:color="000000" w:sz="4" w:space="0"/>
              <w:left w:val="single" w:color="000000" w:sz="4" w:space="0"/>
              <w:bottom w:val="single" w:color="000000" w:sz="4" w:space="0"/>
              <w:right w:val="single" w:color="000000" w:sz="4" w:space="0"/>
            </w:tcBorders>
            <w:shd w:val="clear" w:color="auto" w:fill="D9D9D9"/>
            <w:vAlign w:val="center"/>
          </w:tcPr>
          <w:p w14:paraId="2C76FB4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教材分析</w:t>
            </w:r>
          </w:p>
        </w:tc>
      </w:tr>
      <w:tr w14:paraId="752294F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AA16D8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是第五单元“晚清时期的内忧外患与救亡图存”的开篇，也是理解整个中国近代史的逻辑起点。教材以“列强入侵与民族危机”为主线，首先回顾了鸦片战争前中英两国截然不同的社会形态：中国处于封建社会晚期，实行闭关锁国政策，自给自足的自然经济占主导地位；而英国则已完成工业革命，迫切需要广阔的海外市场和原料产地。这一根本矛盾最终通过“鸦片贸易”这一特殊形式爆发。林则徐虎门销烟成为战争的直接导火索，但教材明确指出，英国发动战争的根本目的在于打开中国市场。教材详细介绍了《南京条约》及其附件的主要内容，包括割让香港岛、五口通商、协定关税、领事裁判权和片面最惠国待遇等，这些条款共同标志着中国国家主权的严重破坏。第二次鸦片战争部分，教材强调了其作为第一次鸦片战争的继续和扩大，英法联军火烧圆明园的暴行以及《天津条约》、《北京条约》的签订，使中国的半殖民地化程度进一步加深。本节课的核心在于帮助学生建立起“侵略-反抗-不平等条约-主权沦丧”这一基本的历史认知框架。</w:t>
            </w:r>
          </w:p>
        </w:tc>
      </w:tr>
      <w:tr w14:paraId="6281550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80E57C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学情分析</w:t>
            </w:r>
          </w:p>
        </w:tc>
      </w:tr>
      <w:tr w14:paraId="6ED5CB0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0AF692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学生对“鸦片战争”、“林则徐”、“虎门销烟”等名词并不陌生，大多能说出这是中国近代史的开端，是外国侵略中国的一场战争。然而，他们的理解往往是碎片化的、故事性的。例如，他们可能知道“落后就要挨打”，但说不清为何“落后”就会“挨打”，即未能从工业文明与农业文明冲突的高度去认识。对于《南京条约》的具体条款，学生可能仅停留在“赔款、割地、开口岸”的表面记忆，而对其背后的深刻影响，如“协定关税”如何扼杀中国民族工业的发展，“领事裁判权”如何践踏中国司法主权，则缺乏深入的理解。此外，学生容易将历史事件简单归因于个人（如把战争失败归咎于道光帝或琦善），而忽视社会制度和生产力水平等根本性因素。因此，教学的着力点应放在引导学生探究战争爆发的深层原因，剖析不平等条约的实质，并建立宏观的历史联系。</w:t>
            </w:r>
          </w:p>
        </w:tc>
      </w:tr>
      <w:tr w14:paraId="2116819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B21D1C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教学准备</w:t>
            </w:r>
          </w:p>
        </w:tc>
      </w:tr>
      <w:tr w14:paraId="5A96DDB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CDD2DE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教师需准备多媒体课件，包含以下核心资源：高清图片《林则徐像》、《虎门销烟池遗址》、《鸦片战争形势图》、《南京条约》签字场景油画、《圆明园大水法遗址》、《时局图》；视频片段《鸦片战争始末》、《火烧圆明园》纪录片节选；音频《黄河大合唱·保卫黄河》片段；打印若干份《南京条约》、《天津条约》核心条款原文；一份关于19世纪上半叶中英贸易对比数据的图表（显示英国毛纺织品在中国滞销，而中国茶叶、生丝在英国畅销）；一份角色扮演卡，包括“英国工厂主”、“清朝广州十三行商人”、“林则徐幕僚”、“普通农民”。</w:t>
            </w:r>
          </w:p>
        </w:tc>
      </w:tr>
      <w:tr w14:paraId="2987457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3FA3E1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教法学法</w:t>
            </w:r>
          </w:p>
        </w:tc>
      </w:tr>
      <w:tr w14:paraId="2252D1A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8DB8267">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采用“情境导入-史料研读-问题驱动-合作探究-情感升华”的教学模式。以“如果时间倒流到1839年，你如何看待这场即将爆发的战争？”为总问题，激发学生的探究欲。通过展示中英贸易失衡的数据图表，创设“为什么英国要向中国走私鸦片”的问题情境。重点组织学生研读《南京条约》原文，进行“条文解密”活动，逐条分析其危害。利用《时局图》作为课堂小结，直观呈现民族危机。最后，通过角色扮演，让学生站在不同立场思考，深化对历史复杂性的理解。</w:t>
            </w:r>
          </w:p>
        </w:tc>
      </w:tr>
      <w:tr w14:paraId="424A86C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5C4D82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教学目标</w:t>
            </w:r>
          </w:p>
        </w:tc>
      </w:tr>
      <w:tr w14:paraId="1E12997F">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84DB1B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唯物史观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学生能够认识到，鸦片战争爆发的根本原因是英国工业资本主义发展对市场的需求与中国封建自然经济的封闭性之间的矛盾，而非简单的“禁烟”之争。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学生能够理解，战后签订的一系列不平等条约，是西方列强基于其先进的生产力和军事优势，对中国落后的生产关系和上层建筑进行强制改造的结果。</w:t>
            </w:r>
          </w:p>
          <w:p w14:paraId="39CF9954">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时空观念</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学生能够在《鸦片战争形势图》上准确标出虎门、定海、镇江、南京等重要战役地点，以及《南京条约》开放的广州、厦门、福州、宁波、上海五处通商口岸的位置。</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学生能够按照时间顺序，梳理出从1839年林则徐虎门销烟，到1842年《南京条约》签订，再到1856年第二次鸦片战争爆发，直至1860年《北京条约》签订的主要历史进程。</w:t>
            </w:r>
          </w:p>
          <w:p w14:paraId="1AEF32B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史料实证</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阅读并分析《南京条约》第一条：“因大清钦差大宪等于道光十九年二月间经将在粤省城所有英国人民身家、财产一概驱除出境……今大清皇帝准将香港一岛给予大英国君主暨嗣后世袭主位者常远据守主掌，任便立法治理。”从中提取“割让香港岛”的信息，并论证此举严重侵犯了中国的领土主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学生能够结合《天津条约》第六款关于“长江一带各口，英商船只俱可通商”的规定，分析其对中国经济命脉的控制意图。</w:t>
            </w:r>
          </w:p>
          <w:p w14:paraId="3678A0F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历史解释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学生能够解释“协定关税”的含义，即中国进出口货物的税率必须由中英双方“秉公议定”，这使得中国失去了自主制定关税的权利，便利了外国商品倾销和原料掠夺，严重阻碍了本国民族工业的发展。</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学生能够阐述“领事裁判权”的概念，即享有此特权的外国人在中国犯罪，不受中国法律管辖，而由其本国领事依据本国法律审理，这严重破坏了中国的司法独立和国家尊严。</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学生能够说明第二次鸦片战争是第一次鸦片战争的继续和扩大，它使外国侵略势力从东南沿海扩展到整个沿海，并深入到长江中下游地区，中国丧失了更多的主权和领土，半殖民地化程度大大加深。</w:t>
            </w:r>
          </w:p>
          <w:p w14:paraId="6275DB3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家国情怀</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学生能够从林则徐“苟利国家生死以，岂因祸福避趋之”的豪迈诗句中，感悟其崇高的爱国主义精神和勇于担当的民族气节。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学生能够通过对英法联军火烧圆明园这一文化浩劫的学习，产生强烈的民族耻辱感和文物保护意识，更加珍视中华民族的文化遗产。</w:t>
            </w:r>
          </w:p>
        </w:tc>
      </w:tr>
      <w:tr w14:paraId="411D48F2">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EE5889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教学重点</w:t>
            </w:r>
          </w:p>
        </w:tc>
      </w:tr>
      <w:tr w14:paraId="16D38971">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65388B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鸦片战争爆发的原因（根本原因和直接原因）、主要经过和《南京条约》的主要内容及影响。</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第二次鸦片战争的起因、英法联军火烧圆明园的罪行、《天津条约》和《北京条约》的主要内容。</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理解鸦片战争是中国近代史的开端，中国开始沦为半殖民地半封建社会。</w:t>
            </w:r>
          </w:p>
        </w:tc>
      </w:tr>
      <w:tr w14:paraId="7016638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D77244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教学难点</w:t>
            </w:r>
          </w:p>
        </w:tc>
      </w:tr>
      <w:tr w14:paraId="649D1E2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679DB8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准确区分鸦片战争爆发的“根本原因”与“直接原因”。根本原因是英国资本主义扩张的需要，直接原因是林则徐的禁烟运动。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深刻理解“半殖民地半封建社会”这一核心概念。既要说明中国在政治上丧失了完整独立的主权，受到外国控制（半殖民地），也要说明中国的自然经济开始解体，但封建剥削制度依然占据主导地位（半封建）。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全面评价林则徐：他既是坚决禁烟、抵抗外侮的民族英雄，又是受时代局限、未能认清世界大势的传统士大夫。</w:t>
            </w:r>
          </w:p>
        </w:tc>
      </w:tr>
      <w:tr w14:paraId="44926C3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BFFA14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教学方法</w:t>
            </w:r>
          </w:p>
        </w:tc>
      </w:tr>
      <w:tr w14:paraId="483C26A9">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9200C9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情境教学法、史料研读法、问题探究法、地图教学法、小组讨论法</w:t>
            </w:r>
          </w:p>
        </w:tc>
      </w:tr>
      <w:tr w14:paraId="2EC3C07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B87F09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教具准备</w:t>
            </w:r>
          </w:p>
        </w:tc>
      </w:tr>
      <w:tr w14:paraId="14D76329">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8F074D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多媒体设备、《林则徐像》、《虎门销烟池遗址》、《鸦片战争形势图》、《南京条约》签字场景油画、《圆明园大水法遗址》、《时局图》、《鸦片战争始末》视频片段、《火烧圆明园》视频片段、《黄河大合唱·保卫黄河》音频、《南京条约》摘录、《天津条约》摘录、角色扮演卡</w:t>
            </w:r>
          </w:p>
        </w:tc>
      </w:tr>
      <w:tr w14:paraId="4B7F9FD9">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B577C4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教师活动</w:t>
            </w:r>
          </w:p>
        </w:tc>
      </w:tr>
      <w:tr w14:paraId="01F716D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645478D">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2" w:name="一情境导入一封来自1839年的信"/>
            <w:r>
              <w:rPr>
                <w:rFonts w:hint="eastAsia" w:ascii="方正仿宋简体" w:hAnsi="方正仿宋简体" w:eastAsia="方正仿宋简体" w:cs="方正仿宋简体"/>
                <w:i w:val="0"/>
                <w:sz w:val="21"/>
                <w:szCs w:val="21"/>
              </w:rPr>
              <w:t>一、情境导入：一封来自1839年的信</w:t>
            </w:r>
            <w:bookmarkEnd w:id="2"/>
          </w:p>
          <w:p w14:paraId="033085EC">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（1）、播放视频，创设情境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播放《鸦片战争始末》的开头片段，画面展现19世纪初广州港的繁忙景象和堆积如山的鸦片箱。随后，投影展示一份精心设计的“模拟信件”：“致大英帝国议会下院诸位议员：我们伟大的工业革命带来了前所未有的生产能力，我们的工厂日夜轰鸣，生产着优质的毛呢和棉布。然而，遥远的东方有一个巨大的市场——中国，那里有四亿人口！但可恶的是，他们只愿意用茶叶和生丝交换我们的白银，而不买我们的工业品。更糟糕的是，一种神奇的植物——鸦片，正成为我们平衡贸易逆差的唯一手段。我们必须保护这项‘正当的贸易’！”</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（2）、提出问题，激发思考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提问：“同学们，这封信反映了当时英国怎样的心态？为什么他们会把贩卖毒品称为‘正当的贸易’？这背后隐藏着怎样不可调和的矛盾？”引导学生思考工业资本主义扩张的必然性与中国传统经济结构的矛盾。</w:t>
            </w:r>
          </w:p>
          <w:p w14:paraId="2B328E06">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3" w:name="二新课讲授战争与条约"/>
            <w:r>
              <w:rPr>
                <w:rFonts w:hint="eastAsia" w:ascii="方正仿宋简体" w:hAnsi="方正仿宋简体" w:eastAsia="方正仿宋简体" w:cs="方正仿宋简体"/>
                <w:i w:val="0"/>
                <w:sz w:val="21"/>
                <w:szCs w:val="21"/>
              </w:rPr>
              <w:t>二、新课讲授：战争与条约</w:t>
            </w:r>
            <w:bookmarkEnd w:id="3"/>
          </w:p>
          <w:p w14:paraId="11FF7501">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（一）、鸦片之祸与禁烟壮举</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解背景：“就在英国商人疯狂向中国走私鸦片的同时，这种毒品给中国人民带来了深重灾难。吸食者骨瘦如柴，倾家荡产，军队战斗力急剧下降。面对此危局，道光皇帝任命林则徐为钦差大臣，赴广东查禁鸦片。”教师展示《林则徐像》，并朗诵其名句：“若鸦片一日未绝，本大臣一日不回，誓与此事相始终，断无中止之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描述壮举：“1839年6月3日，在广东虎门海滩，林则徐主持了震惊中外的销烟活动。他采用‘海水浸化法’，历时23天，销毁鸦片19187箱又2119袋，总重量达237万余斤。”教师播放《虎门销烟》影像资料，并展示《虎门销烟池遗址》照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3. 教师分析影响：“虎门销烟沉重打击了英国鸦片贩子的利益，成为鸦片战争的直接导火索。但我们必须清醒认识到，即使没有林则徐，英国也会为了打开中国市场而发动战争，因为这是其工业发展的内在需求。” </w:t>
            </w:r>
            <w:r>
              <w:rPr>
                <w:rFonts w:hint="eastAsia" w:ascii="方正仿宋简体" w:hAnsi="方正仿宋简体" w:eastAsia="方正仿宋简体" w:cs="方正仿宋简体"/>
                <w:b/>
                <w:bCs/>
                <w:sz w:val="21"/>
                <w:szCs w:val="21"/>
              </w:rPr>
              <w:t>（二）、炮火下的屈辱：第一次鸦片战争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述战争过程：“1840年6月，英国舰队封锁珠江口，鸦片战争正式爆发。英军凭借坚船利炮，攻陷定海，直逼天津白河口。清政府惊慌失措，将林则徐革职查办。1841年，英军攻占香港岛，进犯广州。1842年，英军沿长江西上，攻陷镇江，兵临南京城下。”教师在《鸦片战争形势图》上动态演示英军的进攻路线。</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解读条约：“1842年8月，清政府被迫在英舰‘康华丽号’上签订中国近代史上第一个不平等条约——《南京条约》。请看这份条约的核心条款。”教师分发《南京条约》摘录，组织学生分组进行“条文解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① 割让香港岛 → 主权丧失</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② 开放五口通商 → 经济门户洞开</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③ 赔款2100万银元 → 财政负担加重</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④ 协定关税 → 丧失关税自主权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⑤ 领事裁判权 → 司法主权被破坏</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⑥ 片面最惠国待遇 → 利益均沾，形成侵略同盟</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3. 教师总结影响：“《南京条约》的签订，标志着中国的大门被强行打开，开始沦为半殖民地半封建社会。这是中国近代史的开端。” </w:t>
            </w:r>
            <w:r>
              <w:rPr>
                <w:rFonts w:hint="eastAsia" w:ascii="方正仿宋简体" w:hAnsi="方正仿宋简体" w:eastAsia="方正仿宋简体" w:cs="方正仿宋简体"/>
                <w:b/>
                <w:bCs/>
                <w:sz w:val="21"/>
                <w:szCs w:val="21"/>
              </w:rPr>
              <w:t>（三）、再燃战火：第二次鸦片战争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教师引入：“英国并不满足于《南京条约》的所得。1856年，借口‘亚罗号事件’，英法联军再次发动侵华战争，史称‘第二次鸦片战争’。”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揭露暴行：“1860年，英法联军攻入北京，闯入举世闻名的皇家园林——圆明园。他们进行了长达两天的抢劫，搬走无数奇珍异宝。为了掩盖罪行，竟下令焚烧圆明园。大火三日不熄，这座‘万园之园’化为一片废墟。”教师播放《火烧圆明园》纪录片节选，画面中烈焰冲天，残垣断壁，配以低沉悲愤的音乐，营造强烈的视觉和情感冲击。</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分析后果：“在武力胁迫下，清政府先后签订了《天津条约》和《北京条约》。新增十多个通商口岸，外国公使可以进驻北京，允许外国人到内地游历、经商、传教，沙俄趁机割占了中国东北和西北大片领土。至此，中国的半殖民地化程度进一步加深。”</w:t>
            </w:r>
          </w:p>
          <w:p w14:paraId="438BFBCB">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4" w:name="三课堂小结民族觉醒的序曲"/>
            <w:r>
              <w:rPr>
                <w:rFonts w:hint="eastAsia" w:ascii="方正仿宋简体" w:hAnsi="方正仿宋简体" w:eastAsia="方正仿宋简体" w:cs="方正仿宋简体"/>
                <w:i w:val="0"/>
                <w:sz w:val="21"/>
                <w:szCs w:val="21"/>
              </w:rPr>
              <w:t>三、课堂小结：民族觉醒的序曲</w:t>
            </w:r>
            <w:bookmarkEnd w:id="4"/>
          </w:p>
          <w:p w14:paraId="693D3C27">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（1）、绘制图示，构建体系</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引导学生共同完成一幅“鸦片战争影响”思维导图。中心词为“鸦片战争”，分支包括“政治”（主权沦丧、领土被割）、“经济”（自然经济解体、卷入世界市场）、“思想”（开眼看世界）、“社会性质”（开始沦为半殖民地半封建社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（2）、角色扮演，深化体验</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组织“1839年，我眼中的中国”角色扮演活动。学生抽取角色卡，分别扮演“英国工厂主”、“广州十三行商人”、“林则徐幕僚”和“普通农民”，从各自立场出发，陈述对当前局势的看法和感受。活动结束后，教师总结：“历史是复杂的，每个时代的人们都面临着各自的困境与选择。我们学习历史，正是为了理解这种复杂性，汲取智慧，更好地走向未来。”</w:t>
            </w:r>
          </w:p>
        </w:tc>
      </w:tr>
      <w:tr w14:paraId="243F9CC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B1A0D7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学生活动</w:t>
            </w:r>
          </w:p>
        </w:tc>
      </w:tr>
      <w:tr w14:paraId="71ADFD1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FEF0E5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观看《鸦片战争始末》视频，初步了解时代背景。</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阅读“模拟信件”，思考英国发动战争的根本动机。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观看《林则徐像》和《虎门销烟》影像，感受民族英雄的气概。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在《鸦片战争形势图》上标注重要地点，掌握空间分布。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5. 分组研读《南京条约》原文，进行“条文解密”，制作分析卡片。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6. 观看《火烧圆明园》视频，体会文化浩劫带来的民族伤痛。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7. 参与“1839年，我眼中的中国”角色扮演，表达不同立场的观点。</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8. 构建“鸦片战争影响”思维导图，系统梳理所学知识。</w:t>
            </w:r>
          </w:p>
        </w:tc>
      </w:tr>
      <w:tr w14:paraId="2807A38B">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8D5E7CC">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任务评价</w:t>
            </w:r>
          </w:p>
        </w:tc>
      </w:tr>
      <w:tr w14:paraId="591DA73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CD1E069">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条文分析准确</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地图标注正确</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角色扮演投入</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思维导图完整</w:t>
            </w:r>
          </w:p>
        </w:tc>
      </w:tr>
      <w:tr w14:paraId="6A9042F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454CD21">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设计意图</w:t>
            </w:r>
          </w:p>
        </w:tc>
      </w:tr>
      <w:tr w14:paraId="04F4001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03C87F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以“一封来自1839年的信”为引子，巧妙地将学生带入历史现场，从英国工业资本家的视角揭示战争爆发的深层根源，避免了简单的情绪化叙事。通过“条文解密”活动，将抽象的条约内容转化为具体可感的分析任务，培养学生的史料实证能力。播放《火烧圆明园》的震撼影像，旨在唤起学生强烈的情感共鸣，使其对“落后就要挨打”有切肤之痛。最后的角色扮演活动，鼓励学生换位思考，理解历史的多面性和复杂性，体现了历史学科的思辨价值。整个教学过程环环相扣，既有知识的传授，又有能力的培养和情感的升华，力求实现三维教学目标的有机统一。</w:t>
            </w:r>
          </w:p>
        </w:tc>
      </w:tr>
      <w:tr w14:paraId="7BD1617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9962464">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板书设计</w:t>
            </w:r>
          </w:p>
        </w:tc>
      </w:tr>
      <w:tr w14:paraId="2519822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CDB9AA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第15课 两次鸦片战争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一、战争缘起</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（一）根本原因：英国工业革命 → 打开中国市场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（二）直接原因：林则徐虎门销烟</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二、第一次鸦片战争（1840-1842）</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（一）经过：封锁珠江 → 攻陷定海 → 兵临南京</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（二）结果：《南京条约》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1. 割香港岛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2. 开五口通商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3. 赔款2100万银元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4. 协定关税</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5. 领事裁判权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6. 片面最惠国待遇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（三）影响：中国近代史开端，开始沦为半殖民地半封建社会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三、第二次鸦片战争（1856-1860）</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（一）原因：进一步打开中国市场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（二）暴行：英法联军火烧圆明园</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（三）结果：《天津条约》《北京条约》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1. 新增通商口岸</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2. 外国公使驻京</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3. 内地自由游历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4. 沙俄割占领土</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（四）影响：半殖民地化程度进一步加深</w:t>
            </w:r>
          </w:p>
        </w:tc>
      </w:tr>
      <w:tr w14:paraId="55846961">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80DAE8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教学反思</w:t>
            </w:r>
          </w:p>
        </w:tc>
      </w:tr>
      <w:tr w14:paraId="33DC18C9">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46FD95B">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本节课的教学设计成功地运用了“双重视角”来解读历史。通过“英国工厂主”的信件，学生能够超越狭隘的民族主义情绪，从全球史观的角度理解鸦片战争爆发的必然性，这有助于培养学生客观、全面的历史思维。学生在讨论中表现出浓厚的兴趣，对“为什么英国认为鸦片贸易是正当的”这一问题展开了激烈辩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条文解密”活动效果显著。学生分组研读《南京条约》原文，不仅掌握了条约内容，更重要的是学会了如何从文本中提取有效信息，进行批判性分析。大部分小组都能准确指出“协定关税”和“领事裁判权”对中国的危害，达到了预期的能力培养目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情感教育环节处理得当。播放《火烧圆明园》视频时，教室里异常安静，学生神情凝重，达到了良好的情感熏陶效果。但在后续的讨论中，发现少数学生情绪过于激动，陷入简单的仇恨宣泄。今后在类似教学中，应在情感冲击后及时引导学生进行理性反思，将悲愤之情转化为奋发图强的动力，避免历史教育走向偏激。</w:t>
            </w:r>
          </w:p>
        </w:tc>
      </w:tr>
      <w:bookmarkEnd w:id="1"/>
    </w:tbl>
    <w:p w14:paraId="5E500FA1">
      <w:pPr>
        <w:pStyle w:val="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lang w:eastAsia="zh-CN"/>
        </w:rPr>
      </w:pPr>
      <w:bookmarkStart w:id="5" w:name="第二课时教案第16课-国家出路的探索与列强侵略的加剧"/>
      <w:r>
        <w:rPr>
          <w:rFonts w:hint="eastAsia" w:ascii="方正仿宋简体" w:hAnsi="方正仿宋简体" w:eastAsia="方正仿宋简体" w:cs="方正仿宋简体"/>
          <w:i w:val="0"/>
          <w:sz w:val="21"/>
          <w:szCs w:val="21"/>
        </w:rPr>
        <w:t>第二课时教案：</w:t>
      </w:r>
      <w:r>
        <w:rPr>
          <w:rFonts w:hint="eastAsia" w:ascii="方正仿宋简体" w:hAnsi="方正仿宋简体" w:eastAsia="方正仿宋简体" w:cs="方正仿宋简体"/>
          <w:i w:val="0"/>
          <w:sz w:val="21"/>
          <w:szCs w:val="21"/>
          <w:lang w:val="en-US" w:eastAsia="zh-CN"/>
        </w:rPr>
        <w:t xml:space="preserve"> </w:t>
      </w:r>
      <w:r>
        <w:rPr>
          <w:rFonts w:hint="eastAsia" w:ascii="方正仿宋简体" w:hAnsi="方正仿宋简体" w:eastAsia="方正仿宋简体" w:cs="方正仿宋简体"/>
          <w:i w:val="0"/>
          <w:sz w:val="21"/>
          <w:szCs w:val="21"/>
        </w:rPr>
        <w:t>第16课 国家出路的探索与列强侵略的加剧</w:t>
      </w:r>
      <w:r>
        <w:rPr>
          <w:rFonts w:hint="eastAsia" w:ascii="方正仿宋简体" w:hAnsi="方正仿宋简体" w:eastAsia="方正仿宋简体" w:cs="方正仿宋简体"/>
          <w:i w:val="0"/>
          <w:sz w:val="21"/>
          <w:szCs w:val="21"/>
          <w:lang w:val="en-US" w:eastAsia="zh-CN"/>
        </w:rPr>
        <w:t xml:space="preserve"> </w:t>
      </w:r>
    </w:p>
    <w:tbl>
      <w:tblPr>
        <w:tblStyle w:val="28"/>
        <w:tblW w:w="5000" w:type="pct"/>
        <w:tblInd w:w="0" w:type="dxa"/>
        <w:tblLayout w:type="autofit"/>
        <w:tblCellMar>
          <w:top w:w="0" w:type="dxa"/>
          <w:left w:w="108" w:type="dxa"/>
          <w:bottom w:w="0" w:type="dxa"/>
          <w:right w:w="108" w:type="dxa"/>
        </w:tblCellMar>
      </w:tblPr>
      <w:tblGrid>
        <w:gridCol w:w="8856"/>
      </w:tblGrid>
      <w:tr w14:paraId="1513B7F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shd w:val="clear" w:color="auto" w:fill="D9D9D9"/>
            <w:vAlign w:val="center"/>
          </w:tcPr>
          <w:p w14:paraId="7A8B700C">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教材分析</w:t>
            </w:r>
          </w:p>
        </w:tc>
      </w:tr>
      <w:tr w14:paraId="07C5D9E2">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8A9ECD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承接上一课“外患”的主题，重点转向“内忧”与“自救”。教材内容分为两大板块：第一板块是“太平天国运动”，详细介绍了这场由农民阶级领导的大规模反封建反侵略斗争的兴衰历程。从洪秀全创立“拜上帝教”到金田起义，再到定都天京、颁布《天朝田亩制度》，以及后期的天京事变和最终失败。教材特别强调了《资政新篇》作为中国近代第一个带有资本主义色彩的改革方案的先进性及其未能实施的悲剧性。第二板块是“洋务运动”，系统阐述了以曾国藩、李鸿章为代表的地主阶级开明派，在“中体西用”思想指导下，发起的一场旨在“自强”、“求富”的自救运动。教材列举了其创办军事工业（如江南制造总局）、建立新式海陆军、兴办民用企业（如轮船招商局）和创办新式学堂（如京师同文馆）等主要活动，并客观评价了其在引进西方科技、培养人才方面的积极作用和在根本指导思想上的局限性。最后，教材以甲午中日战争的惨败为标志，宣告了洋务运动的破产，并指出战后列强掀起了瓜分中国的狂潮，民族危机空前严重。本节课的核心在于通过对比两种不同阶级的救国方案，引导学生思考中国近代化道路的艰难曲折。</w:t>
            </w:r>
          </w:p>
        </w:tc>
      </w:tr>
      <w:tr w14:paraId="1B0B3473">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29223D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学情分析</w:t>
            </w:r>
          </w:p>
        </w:tc>
      </w:tr>
      <w:tr w14:paraId="6295822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EB3203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学生对“太平天国”和“洋务运动”这两个名词有所耳闻，但对其内涵的理解往往存在偏差。对于太平天国，学生可能更多地将其视为一场“农民起义”，对其宗教色彩浓厚的意识形态（拜上帝教）和纲领文件《天朝田亩制度》的空想性认识不足；同时，对《资政新篇》的进步意义更是知之甚少。对于洋务运动，学生普遍知道“师夷长技”，但容易将其简单等同于“买船造炮”，而忽视了其在经济、教育领域的开创性举措。更重要的是，学生难以理解为何拥有“坚船利炮”的北洋水师会惨败于日本？这背后暴露的深层次问题——即只学习西方技术而不变革腐朽的封建制度——正是教学的难点。此外，学生可能认为“戊戌变法”是紧接着“洋务运动”之后发生的，而忽略了中间还有甲午战争这一关键转折点。因此，教学的关键在于厘清历史脉络，深入剖析两种救国方案的本质区别与内在联系。</w:t>
            </w:r>
          </w:p>
        </w:tc>
      </w:tr>
      <w:tr w14:paraId="3AB54A2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C8031B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教学准备</w:t>
            </w:r>
          </w:p>
        </w:tc>
      </w:tr>
      <w:tr w14:paraId="311B3B8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C5526A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教师需准备多媒体课件，包含以下核心资源：高清图片《洪秀全像》、《天王洪秀全诏书》、《天朝田亩制度》书影、《资政新篇》书影、《江南制造总局炮厂》老照片、《轮船招商局成立初期的船只》、《京师同文馆师生合影》、《北洋水师旗舰定远号》、《马关条约》签字场景油画、《时局图》（标注“瓜分豆剖”部分）；视频片段《太平天国风云录》、《洋务运动三十年》纪录片节选；音频《十面埋伏》琵琶曲（用于烘托甲午海战的悲壮氛围）；打印若干份《天朝田亩制度》关于土地分配的原文和《资政新篇》关于发展工商业的建议原文；一份对比表格：“太平天国运动 vs 洋务运动”；一份角色扮演卡，包括“太平军将领”、“洋务派官员”、“江南制造总局工人”、“普通市民”。</w:t>
            </w:r>
          </w:p>
        </w:tc>
      </w:tr>
      <w:tr w14:paraId="6F8FC03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C25850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教法学法</w:t>
            </w:r>
          </w:p>
        </w:tc>
      </w:tr>
      <w:tr w14:paraId="405521F1">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0922C7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采用“对比分析-史料辨析-情境模拟-反思总结”的教学模式。以“面对深重的民族危机，不同阶层的人们给出了怎样的答案？”为核心问题。通过制作“太平天国运动 vs 洋务运动”对比表，引导学生从领导阶级、指导思想、目标、方式、结果等方面进行系统比较。组织学生研读《天朝田亩制度》和《资政新篇》的原始文本，分组讨论其进步性与局限性。利用《北洋水师覆没》的影像资料，创设“甲午海战失败原因探析”的探究情境。最后，通过角色扮演，让学生体验不同社会阶层对洋务运动成败的看法，从而深刻理解“中体西用”思想的致命缺陷。</w:t>
            </w:r>
          </w:p>
        </w:tc>
      </w:tr>
      <w:tr w14:paraId="3181BC2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79A69E9">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教学目标</w:t>
            </w:r>
          </w:p>
        </w:tc>
      </w:tr>
      <w:tr w14:paraId="79CC0E1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EA5B814">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唯物史观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学生能够认识到，太平天国运动是阶级矛盾激化的产物，反映了农民阶级要求摆脱封建剥削的强烈愿望，但其小生产者的局限性决定了它无法提出科学的革命纲领。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学生能够理解，洋务运动是地主阶级在内外交困下的一次自救尝试，它顺应了世界工业化的历史潮流，但其维护封建统治的根本目的，使其不可能成功引领中国走向独立富强。</w:t>
            </w:r>
          </w:p>
          <w:p w14:paraId="52A1FBAC">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时空观念</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学生能够在地图上标出太平天国运动的主要进军路线（金田→永安→武昌→南京）和重要战场（天京保卫战）。</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学生能够按照时间顺序，梳理出从1851年金田起义到1864年天京陷落，以及从19世纪60年代洋务运动兴起，到1895年甲午战争失败的完整历史过程。</w:t>
            </w:r>
          </w:p>
          <w:p w14:paraId="3FF15081">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史料实证</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学生能够阅读并分析《天朝田亩制度》中的规定：“凡分田，照人口，不论男妇……好丑各一半。”从中提取其追求绝对平均主义思想的信息，并结合当时生产力水平，论证其实行的空想性。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阅读并分析《资政新篇》中的建议：“兴车马之利……以利便轻捷为妙。倘有能造如外邦火轮车，一日夜能行七八千里者，准自专其利，限满准他人仿做。”从中提取其主张发展近代交通和鼓励科技创新的信息，并评价其在中国近代化发展道路上的前瞻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学生能够结合黄海海战中北洋舰队“济远”舰管带方伯谦临阵脱逃的史实，分析清政府内部腐败对战争结局的影响。</w:t>
            </w:r>
          </w:p>
          <w:p w14:paraId="0B4F98E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历史解释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学生能够解释《天朝田亩制度》虽然描绘了一个“无处不均匀，无人不饱暖”的理想社会，但由于它违背了社会发展规律，试图在小农经济基础上消灭私有制，因此只能是一种无法实现的空想。</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阐述“中体西用”思想的含义，即“中学为体，西学为用”，在保持中国封建制度和伦理纲常（“体”）不变的前提下，引进西方先进的科学技术（“用”），并分析这一思想的保守性和妥协性如何从根本上制约了洋务运动的发展。</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说明甲午中日战争的失败，不仅是一场军事的失败，更是一场政治制度的失败，它彻底暴露了清朝封建专制体制的腐朽无能，标志着单纯学习西方技术的“器物”层面变革的破产，从而促使先进的中国人将目光转向了政治制度的变革。</w:t>
            </w:r>
          </w:p>
          <w:p w14:paraId="5B86728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家国情怀</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学生能够从洪秀全敢于挑战封建正统的勇气和《资政新篇》作者洪仁玕放眼世界的胸襟中，感受到中国人民不甘沉沦、勇于探索的精神。</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学生能够从洋务派“师夷长技以自强”的实践中，体会到近代中国人在逆境中奋起、寻求国家富强的不懈努力，尽管道路充满曲折，但这种探索精神值得敬佩。</w:t>
            </w:r>
          </w:p>
        </w:tc>
      </w:tr>
      <w:tr w14:paraId="4335F72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FAC0D4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教学重点</w:t>
            </w:r>
          </w:p>
        </w:tc>
      </w:tr>
      <w:tr w14:paraId="7D3397B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D62BB9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太平天国运动的兴起背景、主要历程，《天朝田亩制度》的基本内容与评价。</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洋务运动的指导思想（“中体西用”）、主要活动（创办军事工业、民用企业、新式海陆军、新式学堂）及其历史作用与局限性。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甲午中日战争的失败标志着洋务运动的破产，以及战后《马关条约》的签订和列强掀起瓜分中国狂潮所带来的空前严重的民族危机。</w:t>
            </w:r>
          </w:p>
        </w:tc>
      </w:tr>
      <w:tr w14:paraId="35CAFBD3">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12DD9F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教学难点</w:t>
            </w:r>
          </w:p>
        </w:tc>
      </w:tr>
      <w:tr w14:paraId="5E3CC70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C00C4D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准确理解《天朝田亩制度》的革命性和空想性：既要肯定其反对封建土地所有制的进步意义，也要批判其绝对平均主义脱离实际、违背社会发展规律的根本缺陷。</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深刻把握“中体西用”思想的双重性与内在矛盾：它是对传统“天朝上国”观念的重大突破，开启了中国近代化进程的第一步；但其维护封建专制制度的根本立场，又决定了它无法解决中国面临的根本问题，这是洋务运动最终失败的根源。</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全面认识甲午战争失败的多重原因：除了军事装备的差距，更要深入分析清政府政治腐败、指挥失误、财政拮据以及整个封建制度落后于时代等深层次因素。</w:t>
            </w:r>
          </w:p>
        </w:tc>
      </w:tr>
      <w:tr w14:paraId="2268CFAE">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CC11479">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教学方法</w:t>
            </w:r>
          </w:p>
        </w:tc>
      </w:tr>
      <w:tr w14:paraId="26A11EC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5312D8B">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对比分析法、史料研读法、情境教学法、小组讨论法、角色扮演法</w:t>
            </w:r>
          </w:p>
        </w:tc>
      </w:tr>
      <w:tr w14:paraId="0A4B4F9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963D90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教具准备</w:t>
            </w:r>
          </w:p>
        </w:tc>
      </w:tr>
      <w:tr w14:paraId="33080262">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E501A9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多媒体设备、《洪秀全像》、《天朝田亩制度》书影、《资政新篇》书影、《江南制造总局炮厂》老照片、《北洋水师旗舰定远号》图片、《马关条约》签字场景油画、《时局图》、《太平天国风云录》视频片段、《洋务运动三十年》视频片段、《十面埋伏》音频、《天朝田亩制度》摘录、《资政新篇》摘录、“太平天国运动 vs 洋务运动”对比表、“太平军将领”与“洋务派官员”角色卡</w:t>
            </w:r>
          </w:p>
        </w:tc>
      </w:tr>
      <w:tr w14:paraId="004FCEF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11F9B2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教师活动</w:t>
            </w:r>
          </w:p>
        </w:tc>
      </w:tr>
      <w:tr w14:paraId="07180A5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D23F360">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6" w:name="一复习导入危机下的两种回应"/>
            <w:r>
              <w:rPr>
                <w:rFonts w:hint="eastAsia" w:ascii="方正仿宋简体" w:hAnsi="方正仿宋简体" w:eastAsia="方正仿宋简体" w:cs="方正仿宋简体"/>
                <w:i w:val="0"/>
                <w:sz w:val="21"/>
                <w:szCs w:val="21"/>
              </w:rPr>
              <w:t>一、复习导入：危机下的两种回应</w:t>
            </w:r>
            <w:bookmarkEnd w:id="6"/>
          </w:p>
          <w:p w14:paraId="7ECEA05C">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（1）、回顾旧知，引出新题</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教师投影展示上节课的思维导图：“两次鸦片战争 → 不平等条约 → 主权沦丧 → 半殖民地化加深”。提问：“第一次鸦片战争后，清政府面临着前所未有的内忧外患。在这种情况下，中国社会的不同阶层是如何回应这场危机的呢？”引导学生回忆林则徐、魏源“师夷长技以制夷”的初步设想，自然过渡到本课的主题——更大规模的自救与探索。</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（2）、明确目标，激发兴趣</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指出：“今天，我们将聚焦于两种截然不同的救国方案。一种是由农民领袖洪秀全领导的，试图推翻清朝统治、建立人间天国的‘太平天国运动’；另一种是由朝廷重臣曾国藩、李鸿章等人发起的，希望通过学习西方技术来挽救清王朝危亡的‘洋务运动’。这两种方案，究竟谁能救中国？”</w:t>
            </w:r>
          </w:p>
          <w:p w14:paraId="666610F0">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7" w:name="二新课讲授自救的尝试"/>
            <w:r>
              <w:rPr>
                <w:rFonts w:hint="eastAsia" w:ascii="方正仿宋简体" w:hAnsi="方正仿宋简体" w:eastAsia="方正仿宋简体" w:cs="方正仿宋简体"/>
                <w:i w:val="0"/>
                <w:sz w:val="21"/>
                <w:szCs w:val="21"/>
              </w:rPr>
              <w:t>二、新课讲授：自救的尝试</w:t>
            </w:r>
            <w:bookmarkEnd w:id="7"/>
          </w:p>
          <w:p w14:paraId="34D0C960">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（一）、农民的理想国：太平天国运动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解背景：“鸦片战争后，外国商品大量涌入，东南沿海的手工业者纷纷破产。加之清政府为支付赔款而加重赋税，天灾频发，民不聊生。广东花县人洪秀全多次科举落第，深受打击，后受基督教传教书影响，创立了‘拜上帝教’，宣称‘天下多男人，尽是兄弟之辈；天下多女子，尽是姊妹之群’，号召信徒推翻‘阎罗妖’（清朝统治者）。”教师展示《洪秀全像》和《天王洪秀全诏书》图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教师叙述进程：“1851年，洪秀全在广西金田村发动起义，建号太平天国。起义军一路北上，1853年攻克南京，改名天京，定为都城。”教师在黑板上绘制简易路线图，标出金田、永安、武昌、南京等地。</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分析纲领：“定都天京后，太平天国颁布了《天朝田亩制度》。请看这段材料：‘凡分田，照人口，不论男妇……凡天下田，天下人同耕，此处不足，则迁彼处，彼处不足，则迁此处……有田同耕，有饭同食，有衣同穿，有钱同使，无处不均匀，无人不饱暖也。’”教师分发《天朝田亩制度》摘录，组织学生讨论：这份文件体现了什么样的社会理想？它能否真正实现？为什么？</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教师介绍《资政新篇》：“太平天国后期，洪秀全的族弟洪仁玕提出了《资政新篇》。这是一部具有鲜明资本主义色彩的施政纲领。请看其中一条：‘兴车马之利……以利便轻捷为妙。倘有能造如外邦火轮车，一日夜能行七八千里者，准自专其利，限满准他人仿做。’”教师展示《资政新篇》书影，并提问：“与《天朝田亩制度》相比，《资政新篇》有哪些新的特点？它的命运如何？”（教师补充：由于缺乏实施的社会条件和连年战争，该方案未能推行。）</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5. 教师讲述失败：“1856年，太平天国领导集团发生内讧，东王杨秀清被杀，北王韦昌辉被诛，翼王石达开出走，史称‘天京事变’，太平天国由盛转衰。在中外反动势力的联合绞杀下，1864年，天京陷落，运动失败。” </w:t>
            </w:r>
            <w:r>
              <w:rPr>
                <w:rFonts w:hint="eastAsia" w:ascii="方正仿宋简体" w:hAnsi="方正仿宋简体" w:eastAsia="方正仿宋简体" w:cs="方正仿宋简体"/>
                <w:b/>
                <w:bCs/>
                <w:sz w:val="21"/>
                <w:szCs w:val="21"/>
              </w:rPr>
              <w:t>（二）、地主的自强梦：洋务运动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教师引入：“就在太平天国运动如火如荼之时，一批清醒的地主阶级官僚认识到，要维持统治，必须学习西方的‘长技’。以曾国藩、李鸿章、左宗棠、张之洞为代表的洋务派，发起了洋务运动。”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阐释思想：“他们的指导思想是‘中学为体，西学为用’。所谓‘中体’，就是以中国传统的封建伦理纲常为根本；所谓‘西用’，就是采用西方的先进技术为我所用。他们认为，只要有了坚船利炮，就能‘自强’、‘求富’。”教师展示“太平天国运动 vs 洋务运动”对比表，帮助学生理解其本质。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列举实践：“从19世纪60年代起，洋务派开始了一系列实践。在‘自强’口号下，创办了安庆内军械所、江南制造总局等军事工业；建立了福建水师、北洋水师等新式海军。在‘求富’口号下，创办了轮船招商局、开平煤矿、汉阳铁厂等民用企业；还开办了京师同文馆、福州船政学堂等新式学堂，派遣留学生出国深造。”教师逐一展示《江南制造总局炮厂》、《轮船招商局》、《京师同文馆》等图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4. 教师分析局限：“然而，洋务运动只学‘器物’，不学‘制度’。企业管理依然沿用封建衙门的方式，效率低下，贪污成风。更重要的是，它没有触动腐朽的封建制度本身，这就注定了它的失败。” </w:t>
            </w:r>
            <w:r>
              <w:rPr>
                <w:rFonts w:hint="eastAsia" w:ascii="方正仿宋简体" w:hAnsi="方正仿宋简体" w:eastAsia="方正仿宋简体" w:cs="方正仿宋简体"/>
                <w:b/>
                <w:bCs/>
                <w:sz w:val="21"/>
                <w:szCs w:val="21"/>
              </w:rPr>
              <w:t>（三）、梦想的破灭：甲午战争与瓜分狂潮</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述转折：“1894年，日本蓄意挑起甲午中日战争。号称‘亚洲第一’的北洋水师在黄海海战中与日军激战，虽有邓世昌等将士英勇奋战，但最终全军覆没。”教师播放《十面埋伏》音频，营造悲壮气氛，随后展示《北洋水师覆没》的影像资料。</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解读条约：“1895年，清政府被迫签订《马关条约》。请看条款：‘中国割让辽东半岛、台湾全岛及所有附属各岛屿、澎湖列岛给日本；赔偿日本军费白银二亿两……开放沙市、重庆、苏州、杭州为商埠。’”教师展示《马关条约》签字场景油画，并在地图上标出新增通商口岸。</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揭示后果：“《马关条约》的签订，刺激了列强瓜分中国的野心。德国强占胶州湾，俄国租借旅顺大连，英国租借威海卫和九龙，法国租借广州湾。一时之间，中国面临被‘瓜分豆剖’的危险。”教师展示《时局图》，引导学生观察图中的熊、虎、犬、蛙、鹰分别代表哪个国家。</w:t>
            </w:r>
          </w:p>
          <w:p w14:paraId="68A0368A">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8" w:name="三课堂小结历史的启示"/>
            <w:r>
              <w:rPr>
                <w:rFonts w:hint="eastAsia" w:ascii="方正仿宋简体" w:hAnsi="方正仿宋简体" w:eastAsia="方正仿宋简体" w:cs="方正仿宋简体"/>
                <w:i w:val="0"/>
                <w:sz w:val="21"/>
                <w:szCs w:val="21"/>
              </w:rPr>
              <w:t>三、课堂小结：历史的启示</w:t>
            </w:r>
            <w:bookmarkEnd w:id="8"/>
          </w:p>
          <w:p w14:paraId="6EE9B537">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（1）、归纳总结，深化认识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总结：“同学们，今天我们学习了两种不同的救国方案。太平天国运动寄托了农民的美好愿望，但终究无法超越小生产的局限；洋务运动迈出了近代化的第一步，却因固守‘中体’而功亏一篑。甲午战争的惨败告诉我们，一个落后的国家，即使拥有先进的武器，也无法战胜一个制度先进、全民动员的对手。中国的出路，需要更深刻的变革！”</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（2）、布置作业，延伸思考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教师布置作业：“请同学们课后查阅资料，撰写一篇300字左右的小短文，题目是《如果我是李鸿章，我会如何改革？》。要求结合洋务运动的得失，提出你认为更有效的改革措施。”</w:t>
            </w:r>
          </w:p>
        </w:tc>
      </w:tr>
      <w:tr w14:paraId="0748FFA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E6F785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学生活动</w:t>
            </w:r>
          </w:p>
        </w:tc>
      </w:tr>
      <w:tr w14:paraId="2262B4AB">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B891D9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观看《洪秀全像》和《天王洪秀全诏书》，感受太平天国领袖的形象。</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阅读《天朝田亩制度》和《资政新篇》的摘录，分组讨论其内容与可行性。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对比“太平天国运动 vs 洋务运动”表格，理解两种方案的本质区别。</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扮演“太平军将领”或“洋务派官员”，分享对当前局势的看法和应对策略。</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5. 聆听《十面埋伏》音频，想象甲午海战的惨烈场景。</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6. 分析《时局图》，识别列强的象征符号及其代表的国家。</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7. 完成课堂笔记，积极参与师生互动问答。</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8. 课后完成小短文写作，进行深度反思。</w:t>
            </w:r>
          </w:p>
        </w:tc>
      </w:tr>
      <w:tr w14:paraId="2C8DD67E">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65BAC6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任务评价</w:t>
            </w:r>
          </w:p>
        </w:tc>
      </w:tr>
      <w:tr w14:paraId="7F08F2EB">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830537B">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讨论发言有逻辑</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角色扮演合身份</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小短文建议可行</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课堂参与度高</w:t>
            </w:r>
          </w:p>
        </w:tc>
      </w:tr>
      <w:tr w14:paraId="0E34BB1E">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C84977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设计意图</w:t>
            </w:r>
          </w:p>
        </w:tc>
      </w:tr>
      <w:tr w14:paraId="6CC4AE8A">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146ED8C">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通过“对比分析”的方法，将“太平天国运动”与“洋务运动”置于同一历史背景下进行考察，突显了不同阶级在救国道路上的探索与局限。教学过程以“理想”与“现实”的冲突为主线，先展示农民阶级改造社会的宏伟蓝图，再揭示其内在的空想性；先呈现地主阶级引进技术的务实之举，再剖析其思想根基的保守性。通过研读《天朝田亩制度》和《资政新篇》这两份截然不同的文献，引导学生深入思考中国近代化道路的复杂性。甲午战争的失败作为本课的高潮和转折点，有力地证明了“器物”变革的局限，为下一课“戊戌变法”中“制度”变革的登场做了充分的铺垫。角色扮演和课后写作活动，旨在激发学生的想象力和批判性思维，让他们在历史的假设中汲取智慧。</w:t>
            </w:r>
          </w:p>
        </w:tc>
      </w:tr>
      <w:tr w14:paraId="7742CAB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6CB902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板书设计</w:t>
            </w:r>
          </w:p>
        </w:tc>
      </w:tr>
      <w:tr w14:paraId="68A76432">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0B7140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第16课 国家出路的探索与列强侵略的加剧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一、农民的抗争：太平天国运动（1851-1864）</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（一）背景：阶级矛盾尖锐 + 外国侵略加剧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（二）历程：金田起义 → 定都天京 → 天京事变 → 天京陷落</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（三）纲领：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1. 《天朝田亩制度》：绝对平均主义 → 空想</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2. 《资政新篇》：资本主义色彩 → 进步但未实施</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二、地主的自救：洋务运动（19世纪60-90年代）</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（一）指导思想：“中体西用” → 只学“器物”，不学“制度”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（二）主要活动：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1. 自强：军事工业 + 新式海陆军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2. 求富：民用企业 + 新式学堂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（三）结果：甲午战争失败 → 标志破产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三、危机的加深：列强瓜分狂潮</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（一）《马关条约》：割台、赔款、开口岸</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（二）瓜分狂潮：德占胶州、俄租旅大、英占威海、法租广州湾</w:t>
            </w:r>
          </w:p>
        </w:tc>
      </w:tr>
      <w:tr w14:paraId="0D39EAC3">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67BDB9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教学反思</w:t>
            </w:r>
          </w:p>
        </w:tc>
      </w:tr>
      <w:tr w14:paraId="5528C8E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207E5B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本节课的教学设计成功地运用了对比手法，使“太平天国”与“洋务运动”这两大事件的特征更加鲜明。学生在讨论《天朝田亩制度》时，能主动联系初中所学的“井田制”，认识到平均主义在中国历史上的反复出现及其必然失败的命运，展现了良好的知识迁移能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对“中体西用”思想的剖析是本节课的亮点。通过制作对比表和引用洋务派自身的言论，学生能够清晰地看到这一思想在理论上的自相矛盾。在分析甲午战败原因时，学生不仅能说出军事因素，还能提及政治腐败和制度落后，说明教学达到了预期效果。</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时间分配上略有不足。由于“洋务运动”部分内容丰富，导致“瓜分狂潮”部分略显仓促。未来可以考虑将《时局图》的解读提前，融入到甲午战争后果的讲解中，以节省时间。总体而言，本节课较好地完成了教学目标，学生通过对比和反思，对近代中国探索之路的艰难性有了更为深刻的认识。</w:t>
            </w:r>
          </w:p>
        </w:tc>
      </w:tr>
      <w:bookmarkEnd w:id="5"/>
    </w:tbl>
    <w:p w14:paraId="65838657">
      <w:pPr>
        <w:pStyle w:val="4"/>
        <w:keepNext w:val="0"/>
        <w:keepLines w:val="0"/>
        <w:pageBreakBefore w:val="0"/>
        <w:widowControl w:val="0"/>
        <w:kinsoku w:val="0"/>
        <w:wordWrap w:val="0"/>
        <w:overflowPunct/>
        <w:topLinePunct/>
        <w:autoSpaceDE/>
        <w:autoSpaceDN/>
        <w:bidi w:val="0"/>
        <w:adjustRightInd/>
        <w:snapToGrid/>
        <w:spacing w:before="0" w:after="0"/>
        <w:textAlignment w:val="auto"/>
        <w:rPr>
          <w:rFonts w:hint="eastAsia" w:ascii="方正仿宋简体" w:hAnsi="方正仿宋简体" w:eastAsia="方正仿宋简体" w:cs="方正仿宋简体"/>
          <w:sz w:val="21"/>
          <w:szCs w:val="21"/>
          <w:lang w:eastAsia="zh-CN"/>
        </w:rPr>
      </w:pPr>
      <w:bookmarkStart w:id="9" w:name="第三课时教案第17课-国家出路的探索与列强侵略的加剧"/>
      <w:r>
        <w:rPr>
          <w:rFonts w:hint="eastAsia" w:ascii="方正仿宋简体" w:hAnsi="方正仿宋简体" w:eastAsia="方正仿宋简体" w:cs="方正仿宋简体"/>
          <w:i w:val="0"/>
          <w:sz w:val="21"/>
          <w:szCs w:val="21"/>
        </w:rPr>
        <w:t>第三课时教案：</w:t>
      </w:r>
      <w:r>
        <w:rPr>
          <w:rFonts w:hint="eastAsia" w:ascii="方正仿宋简体" w:hAnsi="方正仿宋简体" w:eastAsia="方正仿宋简体" w:cs="方正仿宋简体"/>
          <w:i w:val="0"/>
          <w:sz w:val="21"/>
          <w:szCs w:val="21"/>
          <w:lang w:val="en-US" w:eastAsia="zh-CN"/>
        </w:rPr>
        <w:t xml:space="preserve"> </w:t>
      </w:r>
      <w:r>
        <w:rPr>
          <w:rFonts w:hint="eastAsia" w:ascii="方正仿宋简体" w:hAnsi="方正仿宋简体" w:eastAsia="方正仿宋简体" w:cs="方正仿宋简体"/>
          <w:i w:val="0"/>
          <w:sz w:val="21"/>
          <w:szCs w:val="21"/>
        </w:rPr>
        <w:t>第17课 国家出路的探索与列强侵略的加剧</w:t>
      </w:r>
      <w:r>
        <w:rPr>
          <w:rFonts w:hint="eastAsia" w:ascii="方正仿宋简体" w:hAnsi="方正仿宋简体" w:eastAsia="方正仿宋简体" w:cs="方正仿宋简体"/>
          <w:i w:val="0"/>
          <w:sz w:val="21"/>
          <w:szCs w:val="21"/>
          <w:lang w:val="en-US" w:eastAsia="zh-CN"/>
        </w:rPr>
        <w:t xml:space="preserve"> </w:t>
      </w:r>
    </w:p>
    <w:tbl>
      <w:tblPr>
        <w:tblStyle w:val="28"/>
        <w:tblW w:w="5000" w:type="pct"/>
        <w:tblInd w:w="0" w:type="dxa"/>
        <w:tblLayout w:type="autofit"/>
        <w:tblCellMar>
          <w:top w:w="0" w:type="dxa"/>
          <w:left w:w="108" w:type="dxa"/>
          <w:bottom w:w="0" w:type="dxa"/>
          <w:right w:w="108" w:type="dxa"/>
        </w:tblCellMar>
      </w:tblPr>
      <w:tblGrid>
        <w:gridCol w:w="8856"/>
      </w:tblGrid>
      <w:tr w14:paraId="14E13083">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shd w:val="clear" w:color="auto" w:fill="D9D9D9"/>
            <w:vAlign w:val="center"/>
          </w:tcPr>
          <w:p w14:paraId="2225927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教材分析</w:t>
            </w:r>
          </w:p>
        </w:tc>
      </w:tr>
      <w:tr w14:paraId="4EE0879E">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7470B8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是“国家出路的探索”系列课程的深化，聚焦于甲午战争后至清末新政前这一关键历史时期。教材内容以戊戌变法为核心，系统阐述了在民族危机空前加深的背景下，以康有为、梁启超为代表的资产阶级维新派发起的政治改良运动。教材首先回顾了甲午战败的惨痛教训，指出《马关条约》的签订极大地刺激了先进的中国人，促使他们从单纯学习西方“器物”的洋务运动，转向对西方“制度”的探索。康有为通过撰写《新学伪经考》和《孔子改制考》，借用儒家经典为变法制造理论依据，宣传维新思想。公车上书失败后，维新派创办报刊、组织学会（如强学会），积极进行舆论准备。1898年，在光绪帝的支持下，戊戌变法正式开始，颁布了一系列涉及政治、经济、军事、文教等方面的改革诏令，史称“百日维新”。然而，以慈禧太后为首的顽固守旧势力发动政变，囚禁光绪帝，捕杀“戊戌六君子”，变法最终失败。教材还简要提及了义和团运动的兴起及其抗击八国联军的英勇事迹，以及《辛丑条约》的签订标志着中国完全沦为半殖民地半封建社会。本节课的核心在于引导学生理解戊戌变法作为中国近代史上第一次政治制度变革尝试的重大意义及其失败的深刻原因。</w:t>
            </w:r>
          </w:p>
        </w:tc>
      </w:tr>
      <w:tr w14:paraId="5AA0864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1BE47A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学情分析</w:t>
            </w:r>
          </w:p>
        </w:tc>
      </w:tr>
      <w:tr w14:paraId="2E3B0CBF">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3A7A411">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经过前两节课的学习，学生已对两次鸦片战争和洋务运动有了基本了解，初步建立起“外患-内忧-自救”的历史认知框架。他们知道甲午战争的失败宣告了洋务运动的破产，并导致了列强瓜分中国的狂潮。但对于“戊戌变法”这一事件，学生的知识储备相对薄弱。他们可能听说过“康有为”、“梁启超”、“谭嗣同”等名字，也知晓“百日维新”持续时间很短，但对变法的具体内容、理论基础、内部派系斗争以及其在中国近代化进程中的独特地位缺乏深入认识。尤其容易将“维新派”与之前的“洋务派”混淆，不理解为何同样是向西方学习，这次却要触及到政治制度层面。此外，对于“公车上书”是否真的发生过，学术界存在争议，这可能会引起学生的困惑。因此，教学的重点应放在厘清维新思想的理论创新、变法措施的具体内容及其与之前探索的本质区别上，并客观评价其成败得失。</w:t>
            </w:r>
          </w:p>
        </w:tc>
      </w:tr>
      <w:tr w14:paraId="1BBE010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ED59A5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教学准备</w:t>
            </w:r>
          </w:p>
        </w:tc>
      </w:tr>
      <w:tr w14:paraId="4B26012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D754E8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教师需准备多媒体课件，包含以下核心资源：高清图片《康有为像》、《梁启超像》、《谭嗣同像》、《公车上书》油画、《强学会成立时合影》、《京师大学堂（北京大学前身）旧址》、《八国联军进入北京》老照片、《辛丑条约》签字场景油画；视频片段《戊戌风云录》、《义和团运动》纪录片节选；音频《我的中国心》片段；打印若干份康有为《上清帝第六书》中关于变法的建议原文、谭嗣同《仁学》节选、《明定国是诏》原文；一份对比表格：“洋务运动 vs 戊戌变法”；一份角色扮演卡，包括“维新派官员”、“顽固派大臣”、“京师大学堂学生”、“普通旗人”。</w:t>
            </w:r>
          </w:p>
        </w:tc>
      </w:tr>
      <w:tr w14:paraId="18004ABF">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3AC718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教法学法</w:t>
            </w:r>
          </w:p>
        </w:tc>
      </w:tr>
      <w:tr w14:paraId="4805864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9C5CCD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采用“问题引领-文献研读-辩论模拟-历史反思”的教学模式。以“为什么说戊戌变法是中国近代化进程中的一次质的飞跃？”为核心问题。通过制作“洋务运动 vs 戊戌变法”对比表，引导学生发现从“器物”到“制度”的转变。重点组织学生研读《明定国是诏》和康有为的奏折原文，分组讨论变法措施的进步性与局限性。创设“朝堂辩论会”情境，让学生分别扮演维新派和顽固派，就“是否应该改革科举制度”或“是否应该设立议院”展开模拟辩论。最后，通过分析变法失败的原因，引导学生思考在当时的历史条件下，中国实现独立富强的艰难道路。</w:t>
            </w:r>
          </w:p>
        </w:tc>
      </w:tr>
      <w:tr w14:paraId="7FD2511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39A30B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教学目标</w:t>
            </w:r>
          </w:p>
        </w:tc>
      </w:tr>
      <w:tr w14:paraId="0AE5402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6A006B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唯物史观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学生能够认识到，戊戌变法是甲午战争后民族危机空前加深的产物，是新兴的民族资产阶级试图通过政治改良来挽救民族危亡的首次尝试。</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学生能够理解，变法的失败是当时中国资本主义发展水平低下、民族资产阶级力量弱小、封建顽固势力异常强大等多种因素共同作用的结果，反映了社会发展的客观规律。</w:t>
            </w:r>
          </w:p>
          <w:p w14:paraId="198CD45A">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时空观念</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学生能够在地图上标出戊戌变法期间维新派活动的主要中心——北京，并了解上海、天津等地也是重要的舆论阵地。</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学生能够按照时间顺序，梳理出从1895年“公车上书”到1898年6月“明定国是”诏书颁布，再到9月“戊戌政变”发生，变法历时103天的主要历史进程。</w:t>
            </w:r>
          </w:p>
          <w:p w14:paraId="60E7CCD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史料实证</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阅读并分析康有为在《上清帝第六书》中的建议：“大抵欧美以三百年而造成治体，日本效欧美，以三十年而摹成治体。若以中国之广土众民，近采日本……十年而霸图定矣。”从中提取其主张学习日本明治维新的信息，并结合时代背景，评价其救国方案的急切性和理想化色彩。</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阅读并分析《明定国是诏》中的规定：“嗣后中外大小诸臣，自王公以及士庶，各宜努力向上，发愤为雄……以圣贤义理之学，植其根本，又须博采西学之切于时务者，实力讲求，以救空疏迂谬之弊。”从中提取其主张改革教育、废除八股、鼓励学习西学的信息，并论证此举对传统思想文化的巨大冲击。</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学生能够结合谭嗣同拒绝逃亡时所说的“各国变法，无不从流血而成……中国未闻有因变法而流血者，此国之所以不昌也。有之，请自嗣同始！”的言论，分析维新志士为理想献身的大无畏精神。</w:t>
            </w:r>
          </w:p>
          <w:p w14:paraId="2365D33E">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历史解释</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解释康有为“托古改制”策略的含义，即利用儒家经典《孔子改制考》来证明孔子是一位主张变革的“素王”，从而为自己的维新变法披上合法的外衣，减少来自守旧势力的阻力，这是一种具有中国特色的改革智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学生能够阐述戊戌变法虽然仅持续了103天便告失败，但它广泛传播了西方资产阶级的社会政治学说和自然科学知识，对中国的思想解放起到了巨大的启蒙作用，促进了中国人民的觉醒。</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学生能够说明《辛丑条约》的签订，使清政府完全成为帝国主义统治中国的工具，中国完全陷入了半殖民地半封建社会的深渊，同时也彻底暴露了清王朝的腐朽反动，为后来的辛亥革命创造了条件。</w:t>
            </w:r>
          </w:p>
          <w:p w14:paraId="31BE11E9">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家国情怀</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学生能够从康有为、梁启超等人奔走呼号、著书立说的行动中，感受到知识分子以天下为己任的责任感和使命感。</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学生能够从谭嗣同等“戊戌六君子”慷慨赴死的壮举中，体会到为了国家和民族的前途，不惜牺牲生命的崇高爱国精神和英雄气概，这种精神是中华民族宝贵的精神财富。</w:t>
            </w:r>
          </w:p>
        </w:tc>
      </w:tr>
      <w:tr w14:paraId="719745C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36807E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教学重点</w:t>
            </w:r>
          </w:p>
        </w:tc>
      </w:tr>
      <w:tr w14:paraId="4CA92AF1">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29A1E95">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戊戌变法的背景（甲午战争失败后的民族危机）、代表人物（康有为、梁启超）和主要活动（公车上书、创办报刊、组织学会）。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百日维新的主要内容（政治、经济、军事、文教方面的改革措施）及其进步意义。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戊戌变法失败的原因（顽固派阻挠、维新派自身弱点）和历史影响（思想启蒙）。</w:t>
            </w:r>
          </w:p>
        </w:tc>
      </w:tr>
      <w:tr w14:paraId="5F0DAD7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5FD49A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教学难点</w:t>
            </w:r>
          </w:p>
        </w:tc>
      </w:tr>
      <w:tr w14:paraId="29FDC157">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CEACA5D">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深刻理解“托古改制”思想的双重性：它既是康有为在特定历史条件下为推行变法而采取的巧妙策略，有利于减少改革阻力；但也反映出民族资产阶级的软弱性和妥协性，不敢彻底与封建思想决裂。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全面评价戊戌变法：既要肯定其作为中国近代史上第一次政治制度改革尝试的巨大勇气和思想启蒙作用，也要客观分析其失败的根本原因在于脱离广大人民群众，寄希望于一个没有实权的皇帝，是一场自上而下的改良运动。</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正确认识义和团运动的性质：它是一场自发的农民反帝爱国运动，表现了中国人民反抗外来侵略的坚强意志；但其盲目排外和迷信落后的一面，也为列强扩大侵华提供了口实。</w:t>
            </w:r>
          </w:p>
        </w:tc>
      </w:tr>
      <w:tr w14:paraId="4010B1CE">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93094E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教学方法</w:t>
            </w:r>
          </w:p>
        </w:tc>
      </w:tr>
      <w:tr w14:paraId="0F9CFC5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881A54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文献研读法、比较分析法、情境模拟法（辩论）、小组合作探究法</w:t>
            </w:r>
          </w:p>
        </w:tc>
      </w:tr>
      <w:tr w14:paraId="222C186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5D320C88">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教具准备</w:t>
            </w:r>
          </w:p>
        </w:tc>
      </w:tr>
      <w:tr w14:paraId="7C88A99D">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4F797A22">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多媒体设备、《康有为像》、《梁启超像》、《谭嗣同像》、《公车上书》油画、《强学会成立时合影》、《京师大学堂（北京大学前身）旧址》、《八国联军进入北京》老照片、《辛丑条约》签字场景油画、《戊戌风云录》视频片段、《义和团运动》视频片段、《我的中国心》音频、康有为《上清帝第六书》摘录、《明定国是诏》原文、谭嗣同《仁学》节选、“洋务运动 vs 戊戌变法”对比表、“维新派官员”与“顽固派大臣”角色卡</w:t>
            </w:r>
          </w:p>
        </w:tc>
      </w:tr>
      <w:tr w14:paraId="6C3CB28C">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DDE2CEF">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教师活动</w:t>
            </w:r>
          </w:p>
        </w:tc>
      </w:tr>
      <w:tr w14:paraId="60D9C628">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672992A">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10" w:name="一复习导入从器物到制度的跨越"/>
            <w:r>
              <w:rPr>
                <w:rFonts w:hint="eastAsia" w:ascii="方正仿宋简体" w:hAnsi="方正仿宋简体" w:eastAsia="方正仿宋简体" w:cs="方正仿宋简体"/>
                <w:i w:val="0"/>
                <w:sz w:val="21"/>
                <w:szCs w:val="21"/>
              </w:rPr>
              <w:t>一、复习导入：从“器物”到“制度”的跨越</w:t>
            </w:r>
            <w:bookmarkEnd w:id="10"/>
          </w:p>
          <w:p w14:paraId="1914A50A">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（1）、回顾旧知，引出新题</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投影展示上节课的板书，特别是“洋务运动”的部分，强调其“中体西用”、“只学器物”的特点。提问：“我们已经学习了洋务派‘师夷长技以自强’的实践，但甲午战争的惨败告诉我们，这条路走不通。那么，在‘器物’层面变革失败后，先进的中国人下一步会将目光投向哪里呢？”引导学生得出“制度”层面的结论，自然过渡到本课主题——戊戌变法。</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（2）、明确目标，激发兴趣</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指出：“今天，我们将认识一群充满理想的知识分子。他们不再满足于建造几艘军舰，而是要从根本上改变国家的政治体制。他们就是以康有为、梁启超为代表的维新派。他们的梦想能否实现？让我们一同走进那段激情燃烧的岁月。”</w:t>
            </w:r>
          </w:p>
          <w:p w14:paraId="255ECD8D">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11" w:name="二新课讲授制度的革新"/>
            <w:r>
              <w:rPr>
                <w:rFonts w:hint="eastAsia" w:ascii="方正仿宋简体" w:hAnsi="方正仿宋简体" w:eastAsia="方正仿宋简体" w:cs="方正仿宋简体"/>
                <w:i w:val="0"/>
                <w:sz w:val="21"/>
                <w:szCs w:val="21"/>
              </w:rPr>
              <w:t>二、新课讲授：制度的革新</w:t>
            </w:r>
            <w:bookmarkEnd w:id="11"/>
          </w:p>
          <w:p w14:paraId="4E9B078B">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（一）、思想的先声：维新思想的传播</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教师讲解背景：“甲午战败的消息传回国内，举国震惊。一批有识之士痛定思痛，认为中国落后的根源在于制度。广东南海人康有为率先著书立说，宣传维新变法。”</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阐释理论：“康有为写了两部重要著作：《新学伪经考》和《孔子改制考》。前者宣称历代尊奉的儒家经典多为刘歆伪造，动摇了封建正统思想的根基；后者则把孔子描绘成一位主张变革的‘素王’，提出‘三世说’（据乱世、升平世、太平世），为变法提供理论依据。这就是著名的‘托古改制’。”教师展示《孔子改制考》书影，并解释其策略的巧妙与无奈。</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3. 教师叙述实践：“1895年春，正在北京参加会试的康有为、梁启超联合十八省举人，上书光绪帝，请求拒和、迁都、变法，史称‘公车上书’。”教师展示《公车上书》油画，尽管史学界对其规模有争议，但其象征意义重大，标志着维新思潮开始转变为政治运动。随后，维新派在上海、天津创办《时务报》、《国闻报》等报刊，在北京、上海组织强学会等团体，大力宣传维新思想。 </w:t>
            </w:r>
            <w:r>
              <w:rPr>
                <w:rFonts w:hint="eastAsia" w:ascii="方正仿宋简体" w:hAnsi="方正仿宋简体" w:eastAsia="方正仿宋简体" w:cs="方正仿宋简体"/>
                <w:b/>
                <w:bCs/>
                <w:sz w:val="21"/>
                <w:szCs w:val="21"/>
              </w:rPr>
              <w:t>（二）、百日维新：短暂的春天</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教师引入：“在维新派的推动和帝国主义列强的默许下，1898年6月11日，光绪帝颁布‘明定国是’诏书，宣布变法开始。此后一百余天里，他接连发布上百道改革诏令，史称‘百日维新’。”</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教师解读措施：“请看这份《明定国是诏》的核心内容。”教师分发《明定国是诏》原文，组织学生分组讨论：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① 政治：允许官民上书言事 → 打破专制，提倡参与</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② 经济：设农工商总局，奖励实业 → 发展资本主义经济</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③ 军事：裁减绿营，训练新式军队 → 建立现代化国防</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④ 文教：废八股，改试策论；创办京师大学堂 → 改革教育，培养新式人才</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3. 教师分析影响：“这些措施如果得以实施，将对中国社会产生翻天覆地的变化。尤其是京师大学堂的创办，为中国现代高等教育奠定了基础，即今天的北京大学。” </w:t>
            </w:r>
            <w:r>
              <w:rPr>
                <w:rFonts w:hint="eastAsia" w:ascii="方正仿宋简体" w:hAnsi="方正仿宋简体" w:eastAsia="方正仿宋简体" w:cs="方正仿宋简体"/>
                <w:b/>
                <w:bCs/>
                <w:sz w:val="21"/>
                <w:szCs w:val="21"/>
              </w:rPr>
              <w:t>（三）、戊戌政变：理想的破灭</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教师讲述转折：“变法严重触犯了以慈禧太后为首的顽固派的利益。他们密谋发动政变，夺取权力。”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教师描述政变：“9月21日凌晨，慈禧太后突然从颐和园返回紫禁城，宣布重新‘训政’，将光绪帝囚禁于中南海瀛台。她下令搜捕维新派人士。”教师播放《戊戌风云录》中相关情节的片段。</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缅怀英烈：“谭嗣同、杨锐、刘光第、林旭、杨深秀、康广仁六人被捕，于9月28日在北京菜市口被杀害，史称‘戊戌六君子’。临刑前，谭嗣同高呼：‘有心杀贼，无力回天，死得其所，快哉快哉！’”教师展示《谭嗣同像》，并朗诵其《狱中题壁》诗：“望门投止思张俭，忍死须臾待杜根。我自横刀向天笑，去留肝胆两昆仑。”</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xml:space="preserve">4. 教师总结失败：“戊戌变法仅持续了103天便宣告失败。其根本原因在于民族资产阶级力量弱小，而封建顽固势力过于强大。同时，维新派脱离人民群众，依靠一个毫无实权的皇帝，注定难以成功。” </w:t>
            </w:r>
            <w:r>
              <w:rPr>
                <w:rFonts w:hint="eastAsia" w:ascii="方正仿宋简体" w:hAnsi="方正仿宋简体" w:eastAsia="方正仿宋简体" w:cs="方正仿宋简体"/>
                <w:b/>
                <w:bCs/>
                <w:sz w:val="21"/>
                <w:szCs w:val="21"/>
              </w:rPr>
              <w:t>（四）、风暴再起：义和团运动与《辛丑条约》</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1. 教师引入：“戊戌变法失败后，民族矛盾进一步激化。山东、直隶一带爆发了由民间秘密结社发展而来的义和团运动。他们提出‘扶清灭洋’的口号，焚烧教堂，拆毁铁路，打击外国侵略势力。”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教师讲述冲突：“1900年，英、美、俄、日、法、德、意、奥八国组成联军，从天津大沽口登陆，进攻北京。义和团战士和部分清军官兵进行了英勇抵抗，但终因武器落后而失败。”教师展示《八国联军进入北京》老照片。</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教师揭示后果：“1901年，清政府被迫与十一国签订了《辛丑条约》。请看条款：‘清政府赔偿白银4.5亿两，以海关等税收作担保；严禁人民参加各种形式的反帝活动；拆毁北京至大沽的炮台，允许各国派兵驻守北京至山海关铁路沿线要地；划定北京东交民巷为‘使馆界’，允许各国派兵保护，不准中国人居住。’”教师展示《辛丑条约》签字场景油画，并在地图上标出使馆界和驻军地点。“《辛丑条约》的签订，标志着中国完全沦为半殖民地半封建社会。”</w:t>
            </w:r>
          </w:p>
          <w:p w14:paraId="05BAF8DE">
            <w:pPr>
              <w:pStyle w:val="6"/>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bookmarkStart w:id="12" w:name="三课堂小结历史的回响"/>
            <w:r>
              <w:rPr>
                <w:rFonts w:hint="eastAsia" w:ascii="方正仿宋简体" w:hAnsi="方正仿宋简体" w:eastAsia="方正仿宋简体" w:cs="方正仿宋简体"/>
                <w:i w:val="0"/>
                <w:sz w:val="21"/>
                <w:szCs w:val="21"/>
              </w:rPr>
              <w:t>三、课堂小结：历史的回响</w:t>
            </w:r>
            <w:bookmarkEnd w:id="12"/>
          </w:p>
          <w:p w14:paraId="04D97EC6">
            <w:pPr>
              <w:pStyle w:val="24"/>
              <w:keepNext w:val="0"/>
              <w:keepLines w:val="0"/>
              <w:pageBreakBefore w:val="0"/>
              <w:widowControl w:val="0"/>
              <w:kinsoku w:val="0"/>
              <w:wordWrap w:val="0"/>
              <w:overflowPunct/>
              <w:topLinePunct/>
              <w:autoSpaceDE/>
              <w:autoSpaceDN/>
              <w:bidi w:val="0"/>
              <w:adjustRightInd/>
              <w:snapToGrid/>
              <w:spacing w:before="0"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（1）、归纳总结，深化认识</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总结：“同学们，今天我们学习了戊戌变法这一段悲壮的历史。维新派虽然失败了，但他们敢于挑战千年不变的君主专制，倡导民主宪政，其思想启蒙的价值不可估量。紧接着的义和团运动和《辛丑条约》，则将中国的民族危机推向了顶点。这一切都在昭示着：无论是温和的改良，还是盲目的排外，都无法拯救中国。一场彻底的革命已经不可避免！”</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b/>
                <w:bCs/>
                <w:sz w:val="21"/>
                <w:szCs w:val="21"/>
              </w:rPr>
              <w:t>（2）、布置作业，延伸思考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教师布置作业：“请同学们课后查阅资料，撰写一篇400字左右的小论文，题目是《谭嗣同该不该逃？》。要求结合戊戌变法的时代背景和个人选择，阐述你的观点和理由。”</w:t>
            </w:r>
          </w:p>
        </w:tc>
      </w:tr>
      <w:tr w14:paraId="319CC983">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3670DCE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学生活动</w:t>
            </w:r>
          </w:p>
        </w:tc>
      </w:tr>
      <w:tr w14:paraId="3ECBE1A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7119858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观看《康有为像》、《梁启超像》，了解维新派领袖的形象。</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阅读《明定国是诏》和康有为奏折摘录，分组讨论变法措施的意义。</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参与“朝堂辩论会”，分别扮演“维新派官员”和“顽固派大臣”，就变法议题展开辩论。</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朗读谭嗣同《狱中题壁》诗，感受其舍生取义的英雄气概。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5. 分析《辛丑条约》条款，理解其对中国主权的全面破坏。</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6. 完成课堂笔记，积极参与师生互动问答。</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7. 课后完成小论文写作，进行深度反思。</w:t>
            </w:r>
          </w:p>
        </w:tc>
      </w:tr>
      <w:tr w14:paraId="34C6E530">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04B23D9B">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任务评价</w:t>
            </w:r>
          </w:p>
        </w:tc>
      </w:tr>
      <w:tr w14:paraId="23EA2ABF">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94D88D6">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论文观点鲜明</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辩论逻辑清晰</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诗句朗诵有感情</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4. 课堂笔记完整</w:t>
            </w:r>
          </w:p>
        </w:tc>
      </w:tr>
      <w:tr w14:paraId="381523A4">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4BF201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设计意图</w:t>
            </w:r>
          </w:p>
        </w:tc>
      </w:tr>
      <w:tr w14:paraId="46AB834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6D7448F3">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本节课的设计旨在突出戊戌变法在中国近代化进程中的“质变”意义。通过与“洋务运动”的对比，凸显其从“器物”到“制度”的历史性跨越。教学过程以“思想-实践-失败-反思”为主线，层层递进。重点剖析“托古改制”这一独特的理论创造，引导学生理解其背后的智慧与局限。通过“朝堂辩论会”这一情境模拟活动，让学生亲身体验维新派与顽固派之间不可调和的矛盾，从而更深刻地理解变法失败的必然性。对谭嗣同等烈士的缅怀，则着重于情感的升华，让历史人物的精神品格鲜活起来。最后，将义和团运动和《辛丑条约》纳入本课，是为了构建一个完整的历史链条，让学生看到在戊戌变法失败后，中国社会矛盾如何进一步激化，最终走向了革命的结局。整个设计力求在理性分析与情感体验之间取得平衡，使学生不仅学到知识，更能感悟到历史的温度。</w:t>
            </w:r>
          </w:p>
        </w:tc>
      </w:tr>
      <w:tr w14:paraId="6488D165">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8D0DD4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板书设计</w:t>
            </w:r>
          </w:p>
        </w:tc>
      </w:tr>
      <w:tr w14:paraId="3239DB7B">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813F1CB">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第17课 国家出路的探索与列强侵略的加剧</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一、思想启蒙：维新思想的传播（1895-1898）</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（一）代表人物：康有为、梁启超</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（二）理论基础：《新学伪经考》《孔子改制考》→ “托古改制”</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（三）主要活动：公车上书、办报刊（《时务报》）、组织学会（强学会）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二、百日维新：制度的革新（1898.6-9）</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（一）标志：《明定国是》诏书颁布</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（二）主要内容：</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1. 政治：准上书言事，精简机构</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2. 经济：设农工商局，奖励实业</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3. 军事：裁绿营，练新军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    4. 文教：废八股，办新学堂（京师大学堂）</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（三）结果：戊戌政变 → 失败（103天）</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三、悲剧结局：民族危机的顶峰</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（一）义和团运动：扶清灭洋，英勇抗敌</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（二）八国联军侵华：攻占北京</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（三）《辛丑条约》：完全沦为半殖民地半封建社会</w:t>
            </w:r>
          </w:p>
        </w:tc>
      </w:tr>
      <w:tr w14:paraId="2EA0F1D1">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1F2691F0">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b/>
                <w:bCs/>
                <w:sz w:val="21"/>
                <w:szCs w:val="21"/>
              </w:rPr>
              <w:t>教学反思</w:t>
            </w:r>
          </w:p>
        </w:tc>
      </w:tr>
      <w:tr w14:paraId="15BEC506">
        <w:tblPrEx>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vAlign w:val="center"/>
          </w:tcPr>
          <w:p w14:paraId="26CC5157">
            <w:pPr>
              <w:keepNext w:val="0"/>
              <w:keepLines w:val="0"/>
              <w:pageBreakBefore w:val="0"/>
              <w:widowControl w:val="0"/>
              <w:kinsoku w:val="0"/>
              <w:wordWrap w:val="0"/>
              <w:overflowPunct/>
              <w:topLinePunct/>
              <w:autoSpaceDE/>
              <w:autoSpaceDN/>
              <w:bidi w:val="0"/>
              <w:adjustRightInd/>
              <w:snapToGrid/>
              <w:spacing w:after="0"/>
              <w:jc w:val="left"/>
              <w:textAlignment w:val="auto"/>
              <w:rPr>
                <w:rFonts w:hint="eastAsia" w:ascii="方正仿宋简体" w:hAnsi="方正仿宋简体" w:eastAsia="方正仿宋简体" w:cs="方正仿宋简体"/>
                <w:sz w:val="21"/>
                <w:szCs w:val="21"/>
              </w:rPr>
            </w:pPr>
            <w:r>
              <w:rPr>
                <w:rFonts w:hint="eastAsia" w:ascii="方正仿宋简体" w:hAnsi="方正仿宋简体" w:eastAsia="方正仿宋简体" w:cs="方正仿宋简体"/>
                <w:sz w:val="21"/>
                <w:szCs w:val="21"/>
              </w:rPr>
              <w:t>1. 本节课的教学设计成功地突出了“制度变革”这一核心概念。通过“洋务运动 vs 戊戌变法”对比表，学生清晰地看到了从“器物”到“制度”的本质飞跃，理解了戊戌变法在中国近代化道路上的独特地位。在讨论“托古改制”时，学生能辩证地看待其策略的巧妙与阶级的软弱，展现了良好的批判性思维能力。</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2. “朝堂辩论会”活动取得了超出预期的效果。学生在准备过程中查阅了大量资料，扮演“维新派官员”的同学引用了大量西方宪政理论，而扮演“顽固派大臣”的同学则从祖宗家法、社会稳定等角度进行反驳，辩论场面十分激烈。这不仅活跃了课堂气氛，更重要的是让学生深刻体会到了当时改革所面临的巨大阻力和复杂局面。</w:t>
            </w:r>
            <w:r>
              <w:rPr>
                <w:rFonts w:hint="eastAsia" w:ascii="方正仿宋简体" w:hAnsi="方正仿宋简体" w:eastAsia="方正仿宋简体" w:cs="方正仿宋简体"/>
                <w:sz w:val="21"/>
                <w:szCs w:val="21"/>
              </w:rPr>
              <w:br w:type="textWrapping"/>
            </w:r>
            <w:r>
              <w:rPr>
                <w:rFonts w:hint="eastAsia" w:ascii="方正仿宋简体" w:hAnsi="方正仿宋简体" w:eastAsia="方正仿宋简体" w:cs="方正仿宋简体"/>
                <w:sz w:val="21"/>
                <w:szCs w:val="21"/>
              </w:rPr>
              <w:t>3. 对谭嗣同形象的塑造略显单薄。虽然朗诵了诗歌，但未能充分展现其思想的深刻性。未来可以补充《仁学》中的部分内容，如“冲决网罗”的思想，让学生看到他不仅是行动上的勇士，更是思想上的先驱。总体而言，本节课较好地完成了教学目标，学生在知识、能力和情感态度价值观方面均有所收获。</w:t>
            </w:r>
          </w:p>
        </w:tc>
      </w:tr>
      <w:bookmarkEnd w:id="9"/>
    </w:tbl>
    <w:p w14:paraId="40F9B4A0">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p w14:paraId="3CE44951">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p w14:paraId="61075A69">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p w14:paraId="43766732">
      <w:pPr>
        <w:keepNext w:val="0"/>
        <w:keepLines w:val="0"/>
        <w:pageBreakBefore w:val="0"/>
        <w:widowControl w:val="0"/>
        <w:kinsoku w:val="0"/>
        <w:wordWrap w:val="0"/>
        <w:overflowPunct/>
        <w:topLinePunct/>
        <w:autoSpaceDE/>
        <w:autoSpaceDN/>
        <w:bidi w:val="0"/>
        <w:adjustRightInd/>
        <w:snapToGrid/>
        <w:spacing w:after="0"/>
        <w:textAlignment w:val="auto"/>
        <w:rPr>
          <w:rFonts w:hint="eastAsia" w:ascii="方正仿宋简体" w:hAnsi="方正仿宋简体" w:eastAsia="方正仿宋简体" w:cs="方正仿宋简体"/>
          <w:sz w:val="21"/>
          <w:szCs w:val="21"/>
        </w:rPr>
      </w:pPr>
    </w:p>
    <w:sectPr>
      <w:pgMar w:top="1134" w:right="1134" w:bottom="1134"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86"/>
    <w:family w:val="auto"/>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方正仿宋简体">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842467"/>
  </w:rsids>
  <m:mathPr>
    <m:mathFont m:val="Cambria Math"/>
    <m:brkBin m:val="before"/>
    <m:brkBinSub m:val="--"/>
    <m:smallFrac m:val="0"/>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宋体" w:hAnsi="宋体" w:eastAsia="宋体" w:cstheme="minorBidi"/>
      <w:sz w:val="20"/>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000000"/>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000000"/>
      <w:sz w:val="28"/>
      <w:szCs w:val="28"/>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000000"/>
      <w:sz w:val="24"/>
      <w:szCs w:val="24"/>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000000"/>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color w:val="000000"/>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000000"/>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000000"/>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000000"/>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000000"/>
      <w:sz w:val="24"/>
      <w:szCs w:val="24"/>
    </w:rPr>
  </w:style>
  <w:style w:type="character" w:default="1" w:styleId="19">
    <w:name w:val="Default Paragraph Font"/>
    <w:semiHidden/>
    <w:unhideWhenUsed/>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uiPriority w:val="0"/>
    <w:pPr>
      <w:spacing w:before="0" w:after="120"/>
    </w:pPr>
    <w:rPr>
      <w:i/>
    </w:rPr>
  </w:style>
  <w:style w:type="paragraph" w:styleId="13">
    <w:name w:val="Block Text"/>
    <w:basedOn w:val="3"/>
    <w:next w:val="3"/>
    <w:unhideWhenUsed/>
    <w:qFormat/>
    <w:uiPriority w:val="9"/>
    <w:pPr>
      <w:spacing w:before="100" w:after="100"/>
      <w:ind w:left="480" w:right="480" w:firstLine="0"/>
    </w:p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tblStylePr w:type="firstRow">
      <w:tblPr/>
      <w:tcPr>
        <w:tcBorders>
          <w:bottom w:val="single" w:color="auto" w:sz="0" w:space="0"/>
        </w:tcBorders>
        <w:vAlign w:val="bottom"/>
      </w:tcPr>
    </w:tblStylePr>
  </w:style>
  <w:style w:type="paragraph" w:customStyle="1" w:styleId="29">
    <w:name w:val="Definition Term"/>
    <w:basedOn w:val="1"/>
    <w:next w:val="30"/>
    <w:qFormat/>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pPr>
  </w:style>
  <w:style w:type="paragraph" w:customStyle="1" w:styleId="32">
    <w:name w:val="Image Caption"/>
    <w:basedOn w:val="12"/>
    <w:qFormat/>
    <w:uiPriority w:val="0"/>
  </w:style>
  <w:style w:type="paragraph" w:customStyle="1" w:styleId="33">
    <w:name w:val="Figure"/>
    <w:basedOn w:val="1"/>
    <w:qFormat/>
    <w:uiPriority w:val="0"/>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qFormat/>
    <w:uiPriority w:val="0"/>
    <w:pPr>
      <w:wordWrap w:val="0"/>
    </w:pPr>
  </w:style>
  <w:style w:type="character" w:customStyle="1" w:styleId="37">
    <w:name w:val="Section Number"/>
    <w:basedOn w:val="21"/>
    <w:qFormat/>
    <w:uiPriority w:val="0"/>
  </w:style>
  <w:style w:type="paragraph" w:customStyle="1" w:styleId="38">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9">
    <w:name w:val="KeywordTok"/>
    <w:basedOn w:val="35"/>
    <w:qFormat/>
    <w:uiPriority w:val="0"/>
    <w:rPr>
      <w:b/>
      <w:color w:val="007020"/>
    </w:rPr>
  </w:style>
  <w:style w:type="character" w:customStyle="1" w:styleId="40">
    <w:name w:val="DataTypeTok"/>
    <w:basedOn w:val="35"/>
    <w:uiPriority w:val="0"/>
    <w:rPr>
      <w:color w:val="902000"/>
    </w:rPr>
  </w:style>
  <w:style w:type="character" w:customStyle="1" w:styleId="41">
    <w:name w:val="DecValTok"/>
    <w:basedOn w:val="35"/>
    <w:qFormat/>
    <w:uiPriority w:val="0"/>
    <w:rPr>
      <w:color w:val="40A070"/>
    </w:rPr>
  </w:style>
  <w:style w:type="character" w:customStyle="1" w:styleId="42">
    <w:name w:val="BaseNTok"/>
    <w:basedOn w:val="35"/>
    <w:qFormat/>
    <w:uiPriority w:val="0"/>
    <w:rPr>
      <w:color w:val="40A070"/>
    </w:rPr>
  </w:style>
  <w:style w:type="character" w:customStyle="1" w:styleId="43">
    <w:name w:val="FloatTok"/>
    <w:basedOn w:val="35"/>
    <w:qFormat/>
    <w:uiPriority w:val="0"/>
    <w:rPr>
      <w:color w:val="40A070"/>
    </w:rPr>
  </w:style>
  <w:style w:type="character" w:customStyle="1" w:styleId="44">
    <w:name w:val="ConstantTok"/>
    <w:basedOn w:val="35"/>
    <w:qFormat/>
    <w:uiPriority w:val="0"/>
    <w:rPr>
      <w:color w:val="880000"/>
    </w:rPr>
  </w:style>
  <w:style w:type="character" w:customStyle="1" w:styleId="45">
    <w:name w:val="CharTok"/>
    <w:basedOn w:val="35"/>
    <w:qFormat/>
    <w:uiPriority w:val="0"/>
    <w:rPr>
      <w:color w:val="4070A0"/>
    </w:rPr>
  </w:style>
  <w:style w:type="character" w:customStyle="1" w:styleId="46">
    <w:name w:val="SpecialCharTok"/>
    <w:basedOn w:val="35"/>
    <w:uiPriority w:val="0"/>
    <w:rPr>
      <w:color w:val="4070A0"/>
    </w:rPr>
  </w:style>
  <w:style w:type="character" w:customStyle="1" w:styleId="47">
    <w:name w:val="StringTok"/>
    <w:basedOn w:val="35"/>
    <w:qFormat/>
    <w:uiPriority w:val="0"/>
    <w:rPr>
      <w:color w:val="4070A0"/>
    </w:rPr>
  </w:style>
  <w:style w:type="character" w:customStyle="1" w:styleId="48">
    <w:name w:val="VerbatimStringTok"/>
    <w:basedOn w:val="35"/>
    <w:qFormat/>
    <w:uiPriority w:val="0"/>
    <w:rPr>
      <w:color w:val="4070A0"/>
    </w:rPr>
  </w:style>
  <w:style w:type="character" w:customStyle="1" w:styleId="49">
    <w:name w:val="SpecialStringTok"/>
    <w:basedOn w:val="35"/>
    <w:qFormat/>
    <w:uiPriority w:val="0"/>
    <w:rPr>
      <w:color w:val="BB6688"/>
    </w:rPr>
  </w:style>
  <w:style w:type="character" w:customStyle="1" w:styleId="50">
    <w:name w:val="ImportTok"/>
    <w:basedOn w:val="35"/>
    <w:qFormat/>
    <w:uiPriority w:val="0"/>
    <w:rPr>
      <w:b/>
      <w:color w:val="008000"/>
    </w:rPr>
  </w:style>
  <w:style w:type="character" w:customStyle="1" w:styleId="51">
    <w:name w:val="CommentTok"/>
    <w:basedOn w:val="35"/>
    <w:qFormat/>
    <w:uiPriority w:val="0"/>
    <w:rPr>
      <w:i/>
      <w:color w:val="60A0B0"/>
    </w:rPr>
  </w:style>
  <w:style w:type="character" w:customStyle="1" w:styleId="52">
    <w:name w:val="DocumentationTok"/>
    <w:basedOn w:val="35"/>
    <w:qFormat/>
    <w:uiPriority w:val="0"/>
    <w:rPr>
      <w:i/>
      <w:color w:val="BA2121"/>
    </w:rPr>
  </w:style>
  <w:style w:type="character" w:customStyle="1" w:styleId="53">
    <w:name w:val="AnnotationTok"/>
    <w:basedOn w:val="35"/>
    <w:qFormat/>
    <w:uiPriority w:val="0"/>
    <w:rPr>
      <w:b/>
      <w:i/>
      <w:color w:val="60A0B0"/>
    </w:rPr>
  </w:style>
  <w:style w:type="character" w:customStyle="1" w:styleId="54">
    <w:name w:val="CommentVarTok"/>
    <w:basedOn w:val="35"/>
    <w:qFormat/>
    <w:uiPriority w:val="0"/>
    <w:rPr>
      <w:b/>
      <w:i/>
      <w:color w:val="60A0B0"/>
    </w:rPr>
  </w:style>
  <w:style w:type="character" w:customStyle="1" w:styleId="55">
    <w:name w:val="OtherTok"/>
    <w:basedOn w:val="35"/>
    <w:qFormat/>
    <w:uiPriority w:val="0"/>
    <w:rPr>
      <w:color w:val="007020"/>
    </w:rPr>
  </w:style>
  <w:style w:type="character" w:customStyle="1" w:styleId="56">
    <w:name w:val="FunctionTok"/>
    <w:basedOn w:val="35"/>
    <w:qFormat/>
    <w:uiPriority w:val="0"/>
    <w:rPr>
      <w:color w:val="06287E"/>
    </w:rPr>
  </w:style>
  <w:style w:type="character" w:customStyle="1" w:styleId="57">
    <w:name w:val="VariableTok"/>
    <w:basedOn w:val="35"/>
    <w:qFormat/>
    <w:uiPriority w:val="0"/>
    <w:rPr>
      <w:color w:val="19177C"/>
    </w:rPr>
  </w:style>
  <w:style w:type="character" w:customStyle="1" w:styleId="58">
    <w:name w:val="ControlFlowTok"/>
    <w:basedOn w:val="35"/>
    <w:qFormat/>
    <w:uiPriority w:val="0"/>
    <w:rPr>
      <w:b/>
      <w:color w:val="007020"/>
    </w:rPr>
  </w:style>
  <w:style w:type="character" w:customStyle="1" w:styleId="59">
    <w:name w:val="OperatorTok"/>
    <w:basedOn w:val="35"/>
    <w:qFormat/>
    <w:uiPriority w:val="0"/>
    <w:rPr>
      <w:color w:val="666666"/>
    </w:rPr>
  </w:style>
  <w:style w:type="character" w:customStyle="1" w:styleId="60">
    <w:name w:val="BuiltInTok"/>
    <w:basedOn w:val="35"/>
    <w:qFormat/>
    <w:uiPriority w:val="0"/>
    <w:rPr>
      <w:color w:val="008000"/>
    </w:rPr>
  </w:style>
  <w:style w:type="character" w:customStyle="1" w:styleId="61">
    <w:name w:val="ExtensionTok"/>
    <w:basedOn w:val="35"/>
    <w:qFormat/>
    <w:uiPriority w:val="0"/>
  </w:style>
  <w:style w:type="character" w:customStyle="1" w:styleId="62">
    <w:name w:val="PreprocessorTok"/>
    <w:basedOn w:val="35"/>
    <w:qFormat/>
    <w:uiPriority w:val="0"/>
    <w:rPr>
      <w:color w:val="BC7A00"/>
    </w:rPr>
  </w:style>
  <w:style w:type="character" w:customStyle="1" w:styleId="63">
    <w:name w:val="AttributeTok"/>
    <w:basedOn w:val="35"/>
    <w:qFormat/>
    <w:uiPriority w:val="0"/>
    <w:rPr>
      <w:color w:val="7D9029"/>
    </w:rPr>
  </w:style>
  <w:style w:type="character" w:customStyle="1" w:styleId="64">
    <w:name w:val="RegionMarkerTok"/>
    <w:basedOn w:val="35"/>
    <w:qFormat/>
    <w:uiPriority w:val="0"/>
  </w:style>
  <w:style w:type="character" w:customStyle="1" w:styleId="65">
    <w:name w:val="InformationTok"/>
    <w:basedOn w:val="35"/>
    <w:qFormat/>
    <w:uiPriority w:val="0"/>
    <w:rPr>
      <w:b/>
      <w:i/>
      <w:color w:val="60A0B0"/>
    </w:rPr>
  </w:style>
  <w:style w:type="character" w:customStyle="1" w:styleId="66">
    <w:name w:val="WarningTok"/>
    <w:basedOn w:val="35"/>
    <w:qFormat/>
    <w:uiPriority w:val="0"/>
    <w:rPr>
      <w:b/>
      <w:i/>
      <w:color w:val="60A0B0"/>
    </w:rPr>
  </w:style>
  <w:style w:type="character" w:customStyle="1" w:styleId="67">
    <w:name w:val="AlertTok"/>
    <w:basedOn w:val="35"/>
    <w:qFormat/>
    <w:uiPriority w:val="0"/>
    <w:rPr>
      <w:b/>
      <w:color w:val="FF0000"/>
    </w:rPr>
  </w:style>
  <w:style w:type="character" w:customStyle="1" w:styleId="68">
    <w:name w:val="ErrorTok"/>
    <w:basedOn w:val="35"/>
    <w:qFormat/>
    <w:uiPriority w:val="0"/>
    <w:rPr>
      <w:b/>
      <w:color w:val="FF0000"/>
    </w:rPr>
  </w:style>
  <w:style w:type="character" w:customStyle="1" w:styleId="69">
    <w:name w:val="NormalTok"/>
    <w:basedOn w:val="3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17</Pages>
  <Words>3088</Words>
  <Characters>3181</Characters>
  <DocSecurity>0</DocSecurity>
  <Lines>12</Lines>
  <Paragraphs>8</Paragraphs>
  <ScaleCrop>false</ScaleCrop>
  <LinksUpToDate>false</LinksUpToDate>
  <CharactersWithSpaces>3206</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2025-11-30T13:28:00Z</dcterms:created>
  <dcterms:modified xsi:type="dcterms:W3CDTF">2025-11-30T13:44:43Z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eyJoZGlkIjoiN2YzNjBkOTgyNWQ1YTMxYzM3MzMwNWFiODNmOWIzYWMiLCJ1c2VySWQiOiI0MzM1NjI2MjIifQ==</vt:lpwstr>
  </property>
  <property fmtid="{D5CDD505-2E9C-101B-9397-08002B2CF9AE}" pid="3" name="KSOProductBuildVer">
    <vt:lpwstr>2052-12.1.0.24034</vt:lpwstr>
  </property>
  <property fmtid="{D5CDD505-2E9C-101B-9397-08002B2CF9AE}" pid="4" name="ICV">
    <vt:lpwstr>90784EAA887C470683C4E6459BE2828D_13</vt:lpwstr>
  </property>
</Properties>
</file>