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60132F">
      <w:pPr>
        <w:spacing w:line="240" w:lineRule="auto"/>
        <w:jc w:val="center"/>
        <w:textAlignment w:val="center"/>
        <w:rPr>
          <w:rFonts w:ascii="宋体" w:hAnsi="宋体" w:eastAsia="宋体" w:cs="宋体"/>
          <w:b/>
          <w:i w:val="0"/>
          <w:color w:val="000000"/>
          <w:sz w:val="30"/>
        </w:rPr>
      </w:pPr>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r:embed="rId10"/>
                    <a:stretch>
                      <a:fillRect/>
                    </a:stretch>
                  </pic:blipFill>
                  <pic:spPr>
                    <a:xfrm>
                      <a:off x="0" y="0"/>
                      <a:ext cx="12700" cy="12700"/>
                    </a:xfrm>
                    <a:prstGeom prst="rect">
                      <a:avLst/>
                    </a:prstGeom>
                  </pic:spPr>
                </pic:pic>
              </a:graphicData>
            </a:graphic>
          </wp:inline>
        </w:drawing>
      </w:r>
      <w:r>
        <w:rPr>
          <w:rFonts w:ascii="宋体" w:hAnsi="宋体" w:eastAsia="宋体" w:cs="宋体"/>
          <w:b/>
          <w:i w:val="0"/>
          <w:color w:val="000000"/>
          <w:sz w:val="30"/>
        </w:rPr>
        <w:t>2024届江苏省南京市、盐城市高三一模生物试题</w:t>
      </w:r>
    </w:p>
    <w:p w14:paraId="0E69B205">
      <w:pPr>
        <w:spacing w:line="240" w:lineRule="auto"/>
        <w:jc w:val="left"/>
        <w:textAlignment w:val="center"/>
        <w:rPr>
          <w:rFonts w:ascii="宋体" w:hAnsi="宋体" w:eastAsia="宋体" w:cs="宋体"/>
          <w:b/>
          <w:i w:val="0"/>
          <w:color w:val="000000"/>
          <w:sz w:val="21"/>
        </w:rPr>
      </w:pPr>
      <w:r>
        <w:rPr>
          <w:rFonts w:ascii="宋体" w:hAnsi="宋体" w:eastAsia="宋体" w:cs="宋体"/>
          <w:b/>
          <w:i w:val="0"/>
          <w:color w:val="000000"/>
          <w:sz w:val="21"/>
        </w:rPr>
        <w:t>一、单选题</w:t>
      </w:r>
    </w:p>
    <w:p w14:paraId="2D7BEBF4">
      <w:pPr>
        <w:shd w:val="clear" w:color="auto" w:fill="auto"/>
        <w:spacing w:line="240" w:lineRule="auto"/>
        <w:jc w:val="left"/>
        <w:textAlignment w:val="center"/>
        <w:rPr>
          <w:sz w:val="21"/>
        </w:rPr>
      </w:pPr>
      <w:r>
        <w:rPr>
          <w:sz w:val="21"/>
        </w:rPr>
        <w:t>1．脂质体介导基因转移的效率很高，是转基因技术中常用的方法之一。脂质体是以磷脂等物质制备的中空膜泡状结构的人工膜。传统的脂质体是将磷脂、胆固醇或其它脂类的乙醚溶液加入到DNA溶液中，经特殊处理而得到单层或双层的带DNA的脂质体小泡，其可被受体细胞内吞而实现基因转移。下列说法错误的是（</w:t>
      </w:r>
      <w:r>
        <w:rPr>
          <w:rFonts w:ascii="Times New Roman" w:hAnsi="Times New Roman" w:eastAsia="Times New Roman" w:cs="Times New Roman"/>
          <w:kern w:val="0"/>
          <w:sz w:val="24"/>
          <w:szCs w:val="24"/>
        </w:rPr>
        <w:t>    </w:t>
      </w:r>
      <w:r>
        <w:rPr>
          <w:sz w:val="21"/>
        </w:rPr>
        <w:t>）</w:t>
      </w:r>
    </w:p>
    <w:p w14:paraId="6FFA7CA4">
      <w:pPr>
        <w:shd w:val="clear" w:color="auto" w:fill="auto"/>
        <w:spacing w:line="240" w:lineRule="auto"/>
        <w:ind w:left="300"/>
        <w:jc w:val="left"/>
        <w:textAlignment w:val="center"/>
        <w:rPr>
          <w:sz w:val="21"/>
        </w:rPr>
      </w:pPr>
      <w:r>
        <w:rPr>
          <w:sz w:val="21"/>
        </w:rPr>
        <w:t>A．脂质体介导基因转移的原理是膜的流动性</w:t>
      </w:r>
    </w:p>
    <w:p w14:paraId="62971F3B">
      <w:pPr>
        <w:shd w:val="clear" w:color="auto" w:fill="auto"/>
        <w:spacing w:line="240" w:lineRule="auto"/>
        <w:ind w:left="300"/>
        <w:jc w:val="left"/>
        <w:textAlignment w:val="center"/>
        <w:rPr>
          <w:sz w:val="21"/>
        </w:rPr>
      </w:pPr>
      <w:r>
        <w:rPr>
          <w:sz w:val="21"/>
        </w:rPr>
        <w:t>B．脂质体介导基因转移可适用于多种受体细胞</w:t>
      </w:r>
    </w:p>
    <w:p w14:paraId="501D6A1F">
      <w:pPr>
        <w:shd w:val="clear" w:color="auto" w:fill="auto"/>
        <w:spacing w:line="240" w:lineRule="auto"/>
        <w:ind w:left="300"/>
        <w:jc w:val="left"/>
        <w:textAlignment w:val="center"/>
        <w:rPr>
          <w:sz w:val="21"/>
        </w:rPr>
      </w:pPr>
      <w:r>
        <w:rPr>
          <w:sz w:val="21"/>
        </w:rPr>
        <w:t>C．转移前对植物受体细胞去壁可提高转移效率</w:t>
      </w:r>
    </w:p>
    <w:p w14:paraId="50ED2E2E">
      <w:pPr>
        <w:shd w:val="clear" w:color="auto" w:fill="auto"/>
        <w:spacing w:line="240" w:lineRule="auto"/>
        <w:ind w:left="300"/>
        <w:jc w:val="left"/>
        <w:textAlignment w:val="center"/>
        <w:rPr>
          <w:sz w:val="21"/>
        </w:rPr>
      </w:pPr>
      <w:r>
        <w:rPr>
          <w:sz w:val="21"/>
        </w:rPr>
        <w:t>D．动物对导入的脂质体小泡会产生免疫反应</w:t>
      </w:r>
    </w:p>
    <w:p w14:paraId="2D8D5CEE">
      <w:pPr>
        <w:shd w:val="clear" w:color="auto" w:fill="auto"/>
        <w:spacing w:line="240" w:lineRule="auto"/>
        <w:jc w:val="left"/>
        <w:textAlignment w:val="center"/>
        <w:rPr>
          <w:sz w:val="21"/>
        </w:rPr>
      </w:pPr>
      <w:r>
        <w:rPr>
          <w:sz w:val="21"/>
        </w:rPr>
        <w:t>2．下列关于观察洋葱根尖分生组织细胞有丝分裂实验的叙述，正确的是（</w:t>
      </w:r>
      <w:r>
        <w:rPr>
          <w:rFonts w:ascii="Times New Roman" w:hAnsi="Times New Roman" w:eastAsia="Times New Roman" w:cs="Times New Roman"/>
          <w:kern w:val="0"/>
          <w:sz w:val="24"/>
          <w:szCs w:val="24"/>
        </w:rPr>
        <w:t>    </w:t>
      </w:r>
      <w:r>
        <w:rPr>
          <w:sz w:val="21"/>
        </w:rPr>
        <w:t>）</w:t>
      </w:r>
    </w:p>
    <w:p w14:paraId="1640A53B">
      <w:pPr>
        <w:shd w:val="clear" w:color="auto" w:fill="auto"/>
        <w:spacing w:line="240" w:lineRule="auto"/>
        <w:jc w:val="left"/>
        <w:textAlignment w:val="center"/>
        <w:rPr>
          <w:sz w:val="21"/>
        </w:rPr>
      </w:pPr>
      <w:r>
        <w:rPr>
          <w:sz w:val="21"/>
        </w:rPr>
        <w:t>①解离的目的是使组织细胞彼此分离开来</w:t>
      </w:r>
    </w:p>
    <w:p w14:paraId="04F0ED22">
      <w:pPr>
        <w:shd w:val="clear" w:color="auto" w:fill="auto"/>
        <w:spacing w:line="240" w:lineRule="auto"/>
        <w:jc w:val="left"/>
        <w:textAlignment w:val="center"/>
        <w:rPr>
          <w:sz w:val="21"/>
        </w:rPr>
      </w:pPr>
      <w:r>
        <w:rPr>
          <w:sz w:val="21"/>
        </w:rPr>
        <w:t>②制片之前要通过漂洗洗去染料，便于显微镜下观察</w:t>
      </w:r>
    </w:p>
    <w:p w14:paraId="6C1834EA">
      <w:pPr>
        <w:shd w:val="clear" w:color="auto" w:fill="auto"/>
        <w:spacing w:line="240" w:lineRule="auto"/>
        <w:jc w:val="left"/>
        <w:textAlignment w:val="center"/>
        <w:rPr>
          <w:sz w:val="21"/>
        </w:rPr>
      </w:pPr>
      <w:r>
        <w:rPr>
          <w:sz w:val="21"/>
        </w:rPr>
        <w:t>③压片是为了将根尖细胞分散开，使之不相互重叠影响观察</w:t>
      </w:r>
    </w:p>
    <w:p w14:paraId="3992264B">
      <w:pPr>
        <w:shd w:val="clear" w:color="auto" w:fill="auto"/>
        <w:spacing w:line="240" w:lineRule="auto"/>
        <w:jc w:val="left"/>
        <w:textAlignment w:val="center"/>
        <w:rPr>
          <w:sz w:val="21"/>
        </w:rPr>
      </w:pPr>
      <w:r>
        <w:rPr>
          <w:sz w:val="21"/>
        </w:rPr>
        <w:t>④视野中处于分裂期的细胞数最多</w:t>
      </w:r>
    </w:p>
    <w:p w14:paraId="3A24FA77">
      <w:pPr>
        <w:shd w:val="clear" w:color="auto" w:fill="auto"/>
        <w:tabs>
          <w:tab w:val="left" w:pos="2078"/>
          <w:tab w:val="left" w:pos="4156"/>
          <w:tab w:val="left" w:pos="6234"/>
        </w:tabs>
        <w:spacing w:line="240" w:lineRule="auto"/>
        <w:ind w:left="300"/>
        <w:jc w:val="left"/>
        <w:textAlignment w:val="center"/>
        <w:rPr>
          <w:sz w:val="21"/>
        </w:rPr>
      </w:pPr>
      <w:r>
        <w:rPr>
          <w:sz w:val="21"/>
        </w:rPr>
        <w:t>A．①③</w:t>
      </w:r>
      <w:r>
        <w:rPr>
          <w:sz w:val="21"/>
        </w:rPr>
        <w:tab/>
      </w:r>
      <w:r>
        <w:rPr>
          <w:sz w:val="21"/>
        </w:rPr>
        <w:t>B．②③</w:t>
      </w:r>
      <w:r>
        <w:rPr>
          <w:sz w:val="21"/>
        </w:rPr>
        <w:tab/>
      </w:r>
      <w:r>
        <w:rPr>
          <w:sz w:val="21"/>
        </w:rPr>
        <w:t>C．①②③</w:t>
      </w:r>
      <w:r>
        <w:rPr>
          <w:sz w:val="21"/>
        </w:rPr>
        <w:tab/>
      </w:r>
      <w:r>
        <w:rPr>
          <w:sz w:val="21"/>
        </w:rPr>
        <w:t>D．①③④</w:t>
      </w:r>
    </w:p>
    <w:p w14:paraId="412E11F4">
      <w:pPr>
        <w:shd w:val="clear" w:color="auto" w:fill="auto"/>
        <w:spacing w:line="240" w:lineRule="auto"/>
        <w:jc w:val="left"/>
        <w:textAlignment w:val="center"/>
        <w:rPr>
          <w:sz w:val="21"/>
        </w:rPr>
      </w:pPr>
      <w:r>
        <w:rPr>
          <w:sz w:val="21"/>
        </w:rPr>
        <w:t>3．淀粉酶有多种类型，α-淀粉酶是一种内切酶，可使淀粉内部随机水解，β-淀粉酶是一种外切酶，可使淀粉从末端以两个单糖为单位进行水解。对这两种淀粉酶进行的相关实验结果如图1和图2所示，下列叙述错误的是（</w:t>
      </w:r>
      <w:r>
        <w:rPr>
          <w:rFonts w:ascii="Times New Roman" w:hAnsi="Times New Roman" w:eastAsia="Times New Roman" w:cs="Times New Roman"/>
          <w:kern w:val="0"/>
          <w:sz w:val="24"/>
          <w:szCs w:val="24"/>
        </w:rPr>
        <w:t>    </w:t>
      </w:r>
      <w:r>
        <w:rPr>
          <w:sz w:val="21"/>
        </w:rPr>
        <w:t>）</w:t>
      </w:r>
    </w:p>
    <w:p w14:paraId="4E65ABF9">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inline distT="0" distB="0" distL="114300" distR="114300">
            <wp:extent cx="5276215" cy="1449705"/>
            <wp:effectExtent l="0" t="0" r="6985" b="10795"/>
            <wp:docPr id="100003" name="图片 100003" descr="@@@8bbb6536-ecc8-4be7-8393-4cf17887df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8bbb6536-ecc8-4be7-8393-4cf17887df5e"/>
                    <pic:cNvPicPr>
                      <a:picLocks noChangeAspect="1"/>
                    </pic:cNvPicPr>
                  </pic:nvPicPr>
                  <pic:blipFill>
                    <a:blip r:embed="rId11"/>
                    <a:stretch>
                      <a:fillRect/>
                    </a:stretch>
                  </pic:blipFill>
                  <pic:spPr>
                    <a:xfrm>
                      <a:off x="0" y="0"/>
                      <a:ext cx="5276800" cy="1449932"/>
                    </a:xfrm>
                    <a:prstGeom prst="rect">
                      <a:avLst/>
                    </a:prstGeom>
                  </pic:spPr>
                </pic:pic>
              </a:graphicData>
            </a:graphic>
          </wp:inline>
        </w:drawing>
      </w:r>
      <w:r>
        <w:rPr>
          <w:rFonts w:ascii="Times New Roman" w:hAnsi="Times New Roman" w:eastAsia="Times New Roman" w:cs="Times New Roman"/>
          <w:kern w:val="0"/>
          <w:sz w:val="24"/>
          <w:szCs w:val="24"/>
        </w:rPr>
        <w:t>  </w:t>
      </w:r>
      <w:r>
        <w:rPr>
          <w:sz w:val="21"/>
        </w:rPr>
        <w:t>A．α-淀粉酶水解淀粉的最终产物中有葡萄糖，β-淀粉酶水解淀粉的主要产物为麦芽糖</w:t>
      </w:r>
    </w:p>
    <w:p w14:paraId="6B575E69">
      <w:pPr>
        <w:shd w:val="clear" w:color="auto" w:fill="auto"/>
        <w:spacing w:line="240" w:lineRule="auto"/>
        <w:ind w:left="300"/>
        <w:jc w:val="left"/>
        <w:textAlignment w:val="center"/>
        <w:rPr>
          <w:sz w:val="21"/>
        </w:rPr>
      </w:pPr>
      <w:r>
        <w:rPr>
          <w:sz w:val="21"/>
        </w:rPr>
        <w:t>B．对照组β-淀粉酶在50℃条件下处理1h后.其空间结构完全遭到破坏</w:t>
      </w:r>
    </w:p>
    <w:p w14:paraId="7B095EEA">
      <w:pPr>
        <w:shd w:val="clear" w:color="auto" w:fill="auto"/>
        <w:spacing w:line="240" w:lineRule="auto"/>
        <w:ind w:left="300"/>
        <w:jc w:val="left"/>
        <w:textAlignment w:val="center"/>
        <w:rPr>
          <w:sz w:val="21"/>
        </w:rPr>
      </w:pPr>
      <w:r>
        <w:rPr>
          <w:sz w:val="21"/>
        </w:rPr>
        <w:t>C．β-淀粉酶的最适pH值低于α-淀粉酶，在人体胃内β-淀粉酶活性高于α-淀粉酶</w:t>
      </w:r>
    </w:p>
    <w:p w14:paraId="7B68C239">
      <w:pPr>
        <w:shd w:val="clear" w:color="auto" w:fill="auto"/>
        <w:spacing w:line="240" w:lineRule="auto"/>
        <w:ind w:left="300"/>
        <w:jc w:val="left"/>
        <w:textAlignment w:val="center"/>
        <w:rPr>
          <w:sz w:val="21"/>
        </w:rPr>
      </w:pPr>
      <w:r>
        <w:rPr>
          <w:sz w:val="21"/>
        </w:rPr>
        <w:t>D．Ca</w:t>
      </w:r>
      <w:r>
        <w:rPr>
          <w:sz w:val="21"/>
          <w:vertAlign w:val="superscript"/>
        </w:rPr>
        <w:t>2+</w:t>
      </w:r>
      <w:r>
        <w:rPr>
          <w:sz w:val="21"/>
        </w:rPr>
        <w:t>、淀粉与淀粉酶共存时，更有利于较长时间维持β-淀粉酶的热稳定性</w:t>
      </w:r>
    </w:p>
    <w:p w14:paraId="1392DA56">
      <w:pPr>
        <w:shd w:val="clear" w:color="auto" w:fill="auto"/>
        <w:spacing w:line="240" w:lineRule="auto"/>
        <w:jc w:val="left"/>
        <w:textAlignment w:val="center"/>
        <w:rPr>
          <w:sz w:val="21"/>
        </w:rPr>
      </w:pPr>
      <w:r>
        <w:rPr>
          <w:sz w:val="21"/>
        </w:rPr>
        <w:t>4．放射性同位素在生物实验中常应用，下列有关叙述错误的是（</w:t>
      </w:r>
      <w:r>
        <w:rPr>
          <w:rFonts w:ascii="Times New Roman" w:hAnsi="Times New Roman" w:eastAsia="Times New Roman" w:cs="Times New Roman"/>
          <w:kern w:val="0"/>
          <w:sz w:val="24"/>
          <w:szCs w:val="24"/>
        </w:rPr>
        <w:t>    </w:t>
      </w:r>
      <w:r>
        <w:rPr>
          <w:sz w:val="21"/>
        </w:rPr>
        <w:t>）</w:t>
      </w:r>
    </w:p>
    <w:p w14:paraId="4BFCB914">
      <w:pPr>
        <w:shd w:val="clear" w:color="auto" w:fill="auto"/>
        <w:spacing w:line="240" w:lineRule="auto"/>
        <w:ind w:left="300"/>
        <w:jc w:val="left"/>
        <w:textAlignment w:val="center"/>
        <w:rPr>
          <w:sz w:val="21"/>
        </w:rPr>
      </w:pPr>
      <w:r>
        <w:rPr>
          <w:sz w:val="21"/>
        </w:rPr>
        <w:t>A．给水稻提供</w:t>
      </w:r>
      <w:r>
        <w:rPr>
          <w:sz w:val="21"/>
          <w:vertAlign w:val="superscript"/>
        </w:rPr>
        <w:t>14</w:t>
      </w:r>
      <w:r>
        <w:rPr>
          <w:sz w:val="21"/>
        </w:rPr>
        <w:t>CO</w:t>
      </w:r>
      <w:r>
        <w:rPr>
          <w:sz w:val="21"/>
          <w:vertAlign w:val="subscript"/>
        </w:rPr>
        <w:t>2</w:t>
      </w:r>
      <w:r>
        <w:rPr>
          <w:sz w:val="21"/>
        </w:rPr>
        <w:t>，根细胞在缺氧环境有可能出现</w:t>
      </w:r>
      <w:r>
        <w:rPr>
          <w:sz w:val="21"/>
          <w:vertAlign w:val="superscript"/>
        </w:rPr>
        <w:t>14</w:t>
      </w:r>
      <w:r>
        <w:rPr>
          <w:sz w:val="21"/>
        </w:rPr>
        <w:t>C</w:t>
      </w:r>
      <w:r>
        <w:rPr>
          <w:sz w:val="21"/>
          <w:vertAlign w:val="subscript"/>
        </w:rPr>
        <w:t>2</w:t>
      </w:r>
      <w:r>
        <w:rPr>
          <w:sz w:val="21"/>
        </w:rPr>
        <w:t>H</w:t>
      </w:r>
      <w:r>
        <w:rPr>
          <w:sz w:val="21"/>
          <w:vertAlign w:val="subscript"/>
        </w:rPr>
        <w:t>5</w:t>
      </w:r>
      <w:r>
        <w:rPr>
          <w:sz w:val="21"/>
        </w:rPr>
        <w:t>OH</w:t>
      </w:r>
    </w:p>
    <w:p w14:paraId="4DCC53FB">
      <w:pPr>
        <w:shd w:val="clear" w:color="auto" w:fill="auto"/>
        <w:spacing w:line="240" w:lineRule="auto"/>
        <w:ind w:left="300"/>
        <w:jc w:val="left"/>
        <w:textAlignment w:val="center"/>
        <w:rPr>
          <w:sz w:val="21"/>
        </w:rPr>
      </w:pPr>
      <w:r>
        <w:rPr>
          <w:sz w:val="21"/>
        </w:rPr>
        <w:t>B．给小麦提供</w:t>
      </w:r>
      <w:r>
        <w:rPr>
          <w:sz w:val="21"/>
          <w:vertAlign w:val="superscript"/>
        </w:rPr>
        <w:t>14</w:t>
      </w:r>
      <w:r>
        <w:rPr>
          <w:sz w:val="21"/>
        </w:rPr>
        <w:t>CO</w:t>
      </w:r>
      <w:r>
        <w:rPr>
          <w:sz w:val="21"/>
          <w:vertAlign w:val="subscript"/>
        </w:rPr>
        <w:t>2</w:t>
      </w:r>
      <w:r>
        <w:rPr>
          <w:sz w:val="21"/>
        </w:rPr>
        <w:t>，则</w:t>
      </w:r>
      <w:r>
        <w:rPr>
          <w:sz w:val="21"/>
          <w:vertAlign w:val="superscript"/>
        </w:rPr>
        <w:t>14</w:t>
      </w:r>
      <w:r>
        <w:rPr>
          <w:sz w:val="21"/>
        </w:rPr>
        <w:t>C的转移途径是：</w:t>
      </w:r>
      <w:r>
        <w:rPr>
          <w:sz w:val="21"/>
          <w:vertAlign w:val="superscript"/>
        </w:rPr>
        <w:t>14</w:t>
      </w:r>
      <w:r>
        <w:rPr>
          <w:sz w:val="21"/>
        </w:rPr>
        <w:t>CO</w:t>
      </w:r>
      <w:r>
        <w:rPr>
          <w:sz w:val="21"/>
          <w:vertAlign w:val="subscript"/>
        </w:rPr>
        <w:t>2</w:t>
      </w:r>
      <w:r>
        <w:rPr>
          <w:sz w:val="21"/>
        </w:rPr>
        <w:t>→</w:t>
      </w:r>
      <w:r>
        <w:rPr>
          <w:sz w:val="21"/>
          <w:vertAlign w:val="superscript"/>
        </w:rPr>
        <w:t>14</w:t>
      </w:r>
      <w:r>
        <w:rPr>
          <w:sz w:val="21"/>
        </w:rPr>
        <w:t>C</w:t>
      </w:r>
      <w:r>
        <w:rPr>
          <w:sz w:val="21"/>
          <w:vertAlign w:val="subscript"/>
        </w:rPr>
        <w:t>3</w:t>
      </w:r>
      <w:r>
        <w:rPr>
          <w:sz w:val="21"/>
        </w:rPr>
        <w:t>→（</w:t>
      </w:r>
      <w:r>
        <w:rPr>
          <w:sz w:val="21"/>
          <w:vertAlign w:val="superscript"/>
        </w:rPr>
        <w:t>14</w:t>
      </w:r>
      <w:r>
        <w:rPr>
          <w:sz w:val="21"/>
        </w:rPr>
        <w:t>CH</w:t>
      </w:r>
      <w:r>
        <w:rPr>
          <w:sz w:val="21"/>
          <w:vertAlign w:val="subscript"/>
        </w:rPr>
        <w:t>2</w:t>
      </w:r>
      <w:r>
        <w:rPr>
          <w:sz w:val="21"/>
        </w:rPr>
        <w:t>O）</w:t>
      </w:r>
    </w:p>
    <w:p w14:paraId="1649465E">
      <w:pPr>
        <w:shd w:val="clear" w:color="auto" w:fill="auto"/>
        <w:spacing w:line="240" w:lineRule="auto"/>
        <w:ind w:left="300"/>
        <w:jc w:val="left"/>
        <w:textAlignment w:val="center"/>
        <w:rPr>
          <w:sz w:val="21"/>
        </w:rPr>
      </w:pPr>
      <w:r>
        <w:rPr>
          <w:sz w:val="21"/>
        </w:rPr>
        <w:t>C．用</w:t>
      </w:r>
      <w:r>
        <w:rPr>
          <w:sz w:val="21"/>
          <w:vertAlign w:val="superscript"/>
        </w:rPr>
        <w:t>3</w:t>
      </w:r>
      <w:r>
        <w:rPr>
          <w:sz w:val="21"/>
        </w:rPr>
        <w:t>H标记丙氨酸，内质网上核糖体将有放射性，而游离核糖体则无</w:t>
      </w:r>
    </w:p>
    <w:p w14:paraId="14CE55FB">
      <w:pPr>
        <w:shd w:val="clear" w:color="auto" w:fill="auto"/>
        <w:spacing w:line="240" w:lineRule="auto"/>
        <w:ind w:left="300"/>
        <w:jc w:val="left"/>
        <w:textAlignment w:val="center"/>
        <w:rPr>
          <w:sz w:val="21"/>
        </w:rPr>
      </w:pPr>
      <w:r>
        <w:rPr>
          <w:sz w:val="21"/>
        </w:rPr>
        <w:t>D．小白鼠吸入</w:t>
      </w:r>
      <w:r>
        <w:rPr>
          <w:sz w:val="21"/>
          <w:vertAlign w:val="superscript"/>
        </w:rPr>
        <w:t>18</w:t>
      </w:r>
      <w:r>
        <w:rPr>
          <w:sz w:val="21"/>
        </w:rPr>
        <w:t>O</w:t>
      </w:r>
      <w:r>
        <w:rPr>
          <w:sz w:val="21"/>
          <w:vertAlign w:val="subscript"/>
        </w:rPr>
        <w:t>2</w:t>
      </w:r>
      <w:r>
        <w:rPr>
          <w:sz w:val="21"/>
        </w:rPr>
        <w:t>，在尿液、呼出的二氧化碳中有可能分别检测到含有H</w:t>
      </w:r>
      <w:r>
        <w:rPr>
          <w:sz w:val="21"/>
          <w:vertAlign w:val="subscript"/>
        </w:rPr>
        <w:t>2</w:t>
      </w:r>
      <w:r>
        <w:rPr>
          <w:sz w:val="21"/>
          <w:vertAlign w:val="superscript"/>
        </w:rPr>
        <w:t>18</w:t>
      </w:r>
      <w:r>
        <w:rPr>
          <w:sz w:val="21"/>
        </w:rPr>
        <w:t>O、C</w:t>
      </w:r>
      <w:r>
        <w:rPr>
          <w:sz w:val="21"/>
          <w:vertAlign w:val="superscript"/>
        </w:rPr>
        <w:t>18</w:t>
      </w:r>
      <w:r>
        <w:rPr>
          <w:sz w:val="21"/>
        </w:rPr>
        <w:t>O</w:t>
      </w:r>
      <w:r>
        <w:rPr>
          <w:sz w:val="21"/>
          <w:vertAlign w:val="subscript"/>
        </w:rPr>
        <w:t>2</w:t>
      </w:r>
    </w:p>
    <w:p w14:paraId="17C11A79">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anchor distT="0" distB="0" distL="114300" distR="114300" simplePos="0" relativeHeight="251660288" behindDoc="0" locked="0" layoutInCell="1" allowOverlap="1">
            <wp:simplePos x="0" y="0"/>
            <wp:positionH relativeFrom="column">
              <wp:posOffset>810895</wp:posOffset>
            </wp:positionH>
            <wp:positionV relativeFrom="paragraph">
              <wp:posOffset>976630</wp:posOffset>
            </wp:positionV>
            <wp:extent cx="3759835" cy="1325245"/>
            <wp:effectExtent l="0" t="0" r="12065" b="8255"/>
            <wp:wrapNone/>
            <wp:docPr id="100005" name="图片 100005" descr="@@@30efc03d-eff0-4018-9b18-89457074f5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30efc03d-eff0-4018-9b18-89457074f5cd"/>
                    <pic:cNvPicPr>
                      <a:picLocks noChangeAspect="1"/>
                    </pic:cNvPicPr>
                  </pic:nvPicPr>
                  <pic:blipFill>
                    <a:blip r:embed="rId12"/>
                    <a:stretch>
                      <a:fillRect/>
                    </a:stretch>
                  </pic:blipFill>
                  <pic:spPr>
                    <a:xfrm>
                      <a:off x="0" y="0"/>
                      <a:ext cx="3759835" cy="1325245"/>
                    </a:xfrm>
                    <a:prstGeom prst="rect">
                      <a:avLst/>
                    </a:prstGeom>
                  </pic:spPr>
                </pic:pic>
              </a:graphicData>
            </a:graphic>
          </wp:anchor>
        </w:drawing>
      </w:r>
      <w:r>
        <w:rPr>
          <w:sz w:val="21"/>
        </w:rPr>
        <w:t>5．细胞增殖和凋亡受多种蛋白调控。PI3K/AKT形成的蛋白通路在细胞凋亡及细胞周期的调控中起关键作用，胱天蛋白酶是促进细胞凋亡的关键蛋白，D1蛋白是调控细胞由间期进入分裂期的关键蛋白，胰岛素样生长因子（IGF）是PI3K/AKT通路的激活剂。为探究紫草素对细胞分裂和凋亡的影响，某研究小组用不同浓度的紫草素处理食道癌细胞，通过凝胶电泳技术检测细胞中相关蛋白表达情况，其结果如图所示。下列叙述错误的是（</w:t>
      </w:r>
      <w:r>
        <w:rPr>
          <w:rFonts w:ascii="Times New Roman" w:hAnsi="Times New Roman" w:eastAsia="Times New Roman" w:cs="Times New Roman"/>
          <w:kern w:val="0"/>
          <w:sz w:val="24"/>
          <w:szCs w:val="24"/>
        </w:rPr>
        <w:t>    </w:t>
      </w:r>
      <w:r>
        <w:rPr>
          <w:sz w:val="21"/>
        </w:rPr>
        <w:t>）</w:t>
      </w:r>
    </w:p>
    <w:p w14:paraId="086C5D76">
      <w:pPr>
        <w:shd w:val="clear" w:color="auto" w:fill="auto"/>
        <w:spacing w:line="240" w:lineRule="auto"/>
        <w:jc w:val="left"/>
        <w:textAlignment w:val="center"/>
        <w:rPr>
          <w:sz w:val="21"/>
        </w:rPr>
      </w:pPr>
    </w:p>
    <w:p w14:paraId="69664119">
      <w:pPr>
        <w:shd w:val="clear" w:color="auto" w:fill="auto"/>
        <w:spacing w:line="240" w:lineRule="auto"/>
        <w:jc w:val="left"/>
        <w:textAlignment w:val="center"/>
        <w:rPr>
          <w:sz w:val="21"/>
        </w:rPr>
      </w:pPr>
    </w:p>
    <w:p w14:paraId="7719D13E">
      <w:pPr>
        <w:shd w:val="clear" w:color="auto" w:fill="auto"/>
        <w:spacing w:line="240" w:lineRule="auto"/>
        <w:jc w:val="left"/>
        <w:textAlignment w:val="center"/>
        <w:rPr>
          <w:sz w:val="21"/>
        </w:rPr>
      </w:pPr>
    </w:p>
    <w:p w14:paraId="496FE69D">
      <w:pPr>
        <w:shd w:val="clear" w:color="auto" w:fill="auto"/>
        <w:spacing w:line="240" w:lineRule="auto"/>
        <w:jc w:val="left"/>
        <w:textAlignment w:val="center"/>
        <w:rPr>
          <w:sz w:val="21"/>
        </w:rPr>
      </w:pPr>
    </w:p>
    <w:p w14:paraId="0F8A8251">
      <w:pPr>
        <w:shd w:val="clear" w:color="auto" w:fill="auto"/>
        <w:spacing w:line="240" w:lineRule="auto"/>
        <w:ind w:left="300"/>
        <w:jc w:val="left"/>
        <w:textAlignment w:val="center"/>
        <w:rPr>
          <w:sz w:val="21"/>
        </w:rPr>
      </w:pPr>
      <w:r>
        <w:rPr>
          <w:sz w:val="21"/>
        </w:rPr>
        <w:t>A．条带1说明紫草素能促进细胞凋亡，且细胞凋亡率与紫草素浓度有关</w:t>
      </w:r>
    </w:p>
    <w:p w14:paraId="5FD33B20">
      <w:pPr>
        <w:shd w:val="clear" w:color="auto" w:fill="auto"/>
        <w:spacing w:line="240" w:lineRule="auto"/>
        <w:ind w:left="300"/>
        <w:jc w:val="left"/>
        <w:textAlignment w:val="center"/>
        <w:rPr>
          <w:sz w:val="21"/>
        </w:rPr>
      </w:pPr>
      <w:r>
        <w:rPr>
          <w:sz w:val="21"/>
        </w:rPr>
        <w:t>B．根据条带2推测紫草素可能是通过抑制DNA复制而阻滞细胞增殖</w:t>
      </w:r>
    </w:p>
    <w:p w14:paraId="6A98FE6F">
      <w:pPr>
        <w:shd w:val="clear" w:color="auto" w:fill="auto"/>
        <w:spacing w:line="240" w:lineRule="auto"/>
        <w:ind w:left="300"/>
        <w:jc w:val="left"/>
        <w:textAlignment w:val="center"/>
        <w:rPr>
          <w:sz w:val="21"/>
        </w:rPr>
      </w:pPr>
      <w:r>
        <w:rPr>
          <w:sz w:val="21"/>
        </w:rPr>
        <w:t>C．提高PI3K和AKT蛋白表达量有利于抑制细胞增殖和促进细胞凋亡</w:t>
      </w:r>
    </w:p>
    <w:p w14:paraId="535247E2">
      <w:pPr>
        <w:shd w:val="clear" w:color="auto" w:fill="auto"/>
        <w:spacing w:line="240" w:lineRule="auto"/>
        <w:ind w:left="300"/>
        <w:jc w:val="left"/>
        <w:textAlignment w:val="center"/>
        <w:rPr>
          <w:sz w:val="21"/>
        </w:rPr>
      </w:pPr>
      <w:r>
        <w:rPr>
          <w:sz w:val="21"/>
        </w:rPr>
        <w:t>D．紫草素具有促进食道癌细胞凋亡及细胞周期阻滞的作用，有望作为治疗食道癌的药物</w:t>
      </w:r>
    </w:p>
    <w:p w14:paraId="727186D9">
      <w:pPr>
        <w:shd w:val="clear" w:color="auto" w:fill="auto"/>
        <w:spacing w:line="240" w:lineRule="auto"/>
        <w:jc w:val="left"/>
        <w:textAlignment w:val="center"/>
        <w:rPr>
          <w:sz w:val="21"/>
        </w:rPr>
      </w:pPr>
      <w:r>
        <w:rPr>
          <w:sz w:val="21"/>
        </w:rPr>
        <w:t>6．神经性耳聋、腓骨肌萎缩症是两种单基因遗传病，分别由B/b和D/d基因控制。下图1为某家族相关的遗传系谱图，其中已死亡个体无法知道其性状，经检测Ⅳ</w:t>
      </w:r>
      <w:r>
        <w:rPr>
          <w:sz w:val="21"/>
          <w:vertAlign w:val="subscript"/>
        </w:rPr>
        <w:t>21</w:t>
      </w:r>
      <w:r>
        <w:rPr>
          <w:sz w:val="21"/>
        </w:rPr>
        <w:t>不携带致病基因。为了确定腓骨肌萎缩症基因在染色体上的分布，科研人员对Ⅲ</w:t>
      </w:r>
      <w:r>
        <w:rPr>
          <w:sz w:val="21"/>
          <w:vertAlign w:val="subscript"/>
        </w:rPr>
        <w:t>9</w:t>
      </w:r>
      <w:r>
        <w:rPr>
          <w:sz w:val="21"/>
        </w:rPr>
        <w:t>～Ⅲ</w:t>
      </w:r>
      <w:r>
        <w:rPr>
          <w:sz w:val="21"/>
          <w:vertAlign w:val="subscript"/>
        </w:rPr>
        <w:t>13</w:t>
      </w:r>
      <w:r>
        <w:rPr>
          <w:sz w:val="21"/>
        </w:rPr>
        <w:t>个体含相关基因的DNA片段扩增后用某种限制酶处理，并进行电泳分析，结果如图2。下列说法正确的是（</w:t>
      </w:r>
      <w:r>
        <w:rPr>
          <w:rFonts w:ascii="Times New Roman" w:hAnsi="Times New Roman" w:eastAsia="Times New Roman" w:cs="Times New Roman"/>
          <w:kern w:val="0"/>
          <w:sz w:val="24"/>
          <w:szCs w:val="24"/>
        </w:rPr>
        <w:t>    </w:t>
      </w:r>
      <w:r>
        <w:rPr>
          <w:sz w:val="21"/>
        </w:rPr>
        <w:t>）</w:t>
      </w:r>
    </w:p>
    <w:p w14:paraId="7733598D">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anchor distT="0" distB="0" distL="114300" distR="114300" simplePos="0" relativeHeight="251659264" behindDoc="0" locked="0" layoutInCell="1" allowOverlap="1">
            <wp:simplePos x="0" y="0"/>
            <wp:positionH relativeFrom="column">
              <wp:posOffset>3651885</wp:posOffset>
            </wp:positionH>
            <wp:positionV relativeFrom="paragraph">
              <wp:posOffset>159385</wp:posOffset>
            </wp:positionV>
            <wp:extent cx="2265680" cy="1530985"/>
            <wp:effectExtent l="0" t="0" r="7620" b="0"/>
            <wp:wrapNone/>
            <wp:docPr id="100009" name="图片 100009" descr="@@@4703a03b-26d2-4252-9810-2989c69a50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4703a03b-26d2-4252-9810-2989c69a50a3"/>
                    <pic:cNvPicPr>
                      <a:picLocks noChangeAspect="1"/>
                    </pic:cNvPicPr>
                  </pic:nvPicPr>
                  <pic:blipFill>
                    <a:blip r:embed="rId13">
                      <a:clrChange>
                        <a:clrFrom>
                          <a:srgbClr val="FFFFFF">
                            <a:alpha val="100000"/>
                          </a:srgbClr>
                        </a:clrFrom>
                        <a:clrTo>
                          <a:srgbClr val="FFFFFF">
                            <a:alpha val="100000"/>
                            <a:alpha val="0"/>
                          </a:srgbClr>
                        </a:clrTo>
                      </a:clrChange>
                    </a:blip>
                    <a:stretch>
                      <a:fillRect/>
                    </a:stretch>
                  </pic:blipFill>
                  <pic:spPr>
                    <a:xfrm>
                      <a:off x="0" y="0"/>
                      <a:ext cx="2265680" cy="1530985"/>
                    </a:xfrm>
                    <a:prstGeom prst="rect">
                      <a:avLst/>
                    </a:prstGeom>
                  </pic:spPr>
                </pic:pic>
              </a:graphicData>
            </a:graphic>
          </wp:anchor>
        </w:drawing>
      </w:r>
      <w:r>
        <w:rPr>
          <w:rFonts w:ascii="Times New Roman" w:hAnsi="Times New Roman" w:eastAsia="Times New Roman" w:cs="Times New Roman"/>
          <w:strike w:val="0"/>
          <w:kern w:val="0"/>
          <w:sz w:val="24"/>
          <w:szCs w:val="24"/>
          <w:u w:val="none"/>
        </w:rPr>
        <w:drawing>
          <wp:inline distT="0" distB="0" distL="114300" distR="114300">
            <wp:extent cx="3835400" cy="2019300"/>
            <wp:effectExtent l="0" t="0" r="0" b="0"/>
            <wp:docPr id="100007" name="图片 100007" descr="@@@5fd9fcf3-974f-4894-9a96-b365318e28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5fd9fcf3-974f-4894-9a96-b365318e282f"/>
                    <pic:cNvPicPr>
                      <a:picLocks noChangeAspect="1"/>
                    </pic:cNvPicPr>
                  </pic:nvPicPr>
                  <pic:blipFill>
                    <a:blip r:embed="rId14"/>
                    <a:stretch>
                      <a:fillRect/>
                    </a:stretch>
                  </pic:blipFill>
                  <pic:spPr>
                    <a:xfrm>
                      <a:off x="0" y="0"/>
                      <a:ext cx="3835400" cy="2019300"/>
                    </a:xfrm>
                    <a:prstGeom prst="rect">
                      <a:avLst/>
                    </a:prstGeom>
                  </pic:spPr>
                </pic:pic>
              </a:graphicData>
            </a:graphic>
          </wp:inline>
        </w:drawing>
      </w:r>
    </w:p>
    <w:p w14:paraId="27408410">
      <w:pPr>
        <w:shd w:val="clear" w:color="auto" w:fill="auto"/>
        <w:spacing w:line="240" w:lineRule="auto"/>
        <w:ind w:left="300"/>
        <w:jc w:val="left"/>
        <w:textAlignment w:val="center"/>
        <w:rPr>
          <w:sz w:val="21"/>
        </w:rPr>
      </w:pPr>
      <w:r>
        <w:rPr>
          <w:sz w:val="21"/>
        </w:rPr>
        <w:t>A．神经性耳聋的遗传方式为常染色体隐性，腓骨肌萎缩症的遗传方式为伴X染色体隐性</w:t>
      </w:r>
    </w:p>
    <w:p w14:paraId="06D4415D">
      <w:pPr>
        <w:shd w:val="clear" w:color="auto" w:fill="auto"/>
        <w:spacing w:line="240" w:lineRule="auto"/>
        <w:ind w:left="300"/>
        <w:jc w:val="left"/>
        <w:textAlignment w:val="center"/>
        <w:rPr>
          <w:sz w:val="21"/>
        </w:rPr>
      </w:pPr>
      <w:r>
        <w:rPr>
          <w:sz w:val="21"/>
        </w:rPr>
        <w:t>B．Ⅳ</w:t>
      </w:r>
      <w:r>
        <w:rPr>
          <w:sz w:val="21"/>
          <w:vertAlign w:val="subscript"/>
        </w:rPr>
        <w:t>19</w:t>
      </w:r>
      <w:r>
        <w:rPr>
          <w:sz w:val="21"/>
        </w:rPr>
        <w:t>的致病基因只能来自于Ⅱ</w:t>
      </w:r>
      <w:r>
        <w:rPr>
          <w:sz w:val="21"/>
          <w:vertAlign w:val="subscript"/>
        </w:rPr>
        <w:t>5</w:t>
      </w:r>
      <w:r>
        <w:rPr>
          <w:sz w:val="21"/>
        </w:rPr>
        <w:t>或者Ⅱ</w:t>
      </w:r>
      <w:r>
        <w:rPr>
          <w:sz w:val="21"/>
          <w:vertAlign w:val="subscript"/>
        </w:rPr>
        <w:t>6</w:t>
      </w:r>
    </w:p>
    <w:p w14:paraId="3AF0DC61">
      <w:pPr>
        <w:shd w:val="clear" w:color="auto" w:fill="auto"/>
        <w:spacing w:line="240" w:lineRule="auto"/>
        <w:ind w:left="300"/>
        <w:jc w:val="left"/>
        <w:textAlignment w:val="center"/>
        <w:rPr>
          <w:sz w:val="21"/>
        </w:rPr>
      </w:pPr>
      <w:r>
        <w:rPr>
          <w:sz w:val="21"/>
        </w:rPr>
        <w:t>C．Ⅲ</w:t>
      </w:r>
      <w:r>
        <w:rPr>
          <w:sz w:val="21"/>
          <w:vertAlign w:val="subscript"/>
        </w:rPr>
        <w:t>13</w:t>
      </w:r>
      <w:r>
        <w:rPr>
          <w:sz w:val="21"/>
        </w:rPr>
        <w:t>的基因型为BbX</w:t>
      </w:r>
      <w:r>
        <w:rPr>
          <w:sz w:val="21"/>
          <w:vertAlign w:val="superscript"/>
        </w:rPr>
        <w:t>D</w:t>
      </w:r>
      <w:r>
        <w:rPr>
          <w:sz w:val="21"/>
        </w:rPr>
        <w:t>X</w:t>
      </w:r>
      <w:r>
        <w:rPr>
          <w:sz w:val="21"/>
          <w:vertAlign w:val="superscript"/>
        </w:rPr>
        <w:t>d</w:t>
      </w:r>
      <w:r>
        <w:rPr>
          <w:sz w:val="21"/>
        </w:rPr>
        <w:t>或BBX</w:t>
      </w:r>
      <w:r>
        <w:rPr>
          <w:sz w:val="21"/>
          <w:vertAlign w:val="superscript"/>
        </w:rPr>
        <w:t>D</w:t>
      </w:r>
      <w:r>
        <w:rPr>
          <w:sz w:val="21"/>
        </w:rPr>
        <w:t>X</w:t>
      </w:r>
      <w:r>
        <w:rPr>
          <w:sz w:val="21"/>
          <w:vertAlign w:val="superscript"/>
        </w:rPr>
        <w:t>d</w:t>
      </w:r>
    </w:p>
    <w:p w14:paraId="0319FA75">
      <w:pPr>
        <w:shd w:val="clear" w:color="auto" w:fill="auto"/>
        <w:spacing w:line="240" w:lineRule="auto"/>
        <w:ind w:left="300"/>
        <w:jc w:val="left"/>
        <w:textAlignment w:val="center"/>
        <w:rPr>
          <w:sz w:val="21"/>
        </w:rPr>
      </w:pPr>
      <w:r>
        <w:rPr>
          <w:sz w:val="21"/>
        </w:rPr>
        <w:t>D．Ⅴ</w:t>
      </w:r>
      <w:r>
        <w:rPr>
          <w:sz w:val="21"/>
          <w:vertAlign w:val="subscript"/>
        </w:rPr>
        <w:t>22</w:t>
      </w:r>
      <w:r>
        <w:rPr>
          <w:sz w:val="21"/>
        </w:rPr>
        <w:t>与Ⅴ</w:t>
      </w:r>
      <w:r>
        <w:rPr>
          <w:sz w:val="21"/>
          <w:vertAlign w:val="subscript"/>
        </w:rPr>
        <w:t>23</w:t>
      </w:r>
      <w:r>
        <w:rPr>
          <w:sz w:val="21"/>
        </w:rPr>
        <w:t>婚配，他们后代中出现不患病女孩的概率是7/16</w:t>
      </w:r>
    </w:p>
    <w:p w14:paraId="3ED167E5">
      <w:pPr>
        <w:shd w:val="clear" w:color="auto" w:fill="auto"/>
        <w:spacing w:line="240" w:lineRule="auto"/>
        <w:jc w:val="left"/>
        <w:textAlignment w:val="center"/>
        <w:rPr>
          <w:sz w:val="21"/>
        </w:rPr>
      </w:pPr>
      <w:r>
        <w:rPr>
          <w:sz w:val="21"/>
        </w:rPr>
        <w:t>7．野生型玉米的体细胞和生殖细胞中均存在淀粉。而基因E突变为e后，ee个体的种子细胞中，合成淀粉所需的一种分支酶活性丧失，导致其不能正常形成淀粉，表现为果实皱缩。下列有关叙述错误的是</w:t>
      </w:r>
    </w:p>
    <w:p w14:paraId="007F1029">
      <w:pPr>
        <w:shd w:val="clear" w:color="auto" w:fill="auto"/>
        <w:spacing w:line="240" w:lineRule="auto"/>
        <w:ind w:left="300"/>
        <w:jc w:val="left"/>
        <w:textAlignment w:val="center"/>
        <w:rPr>
          <w:sz w:val="21"/>
        </w:rPr>
      </w:pPr>
      <w:r>
        <w:rPr>
          <w:sz w:val="21"/>
        </w:rPr>
        <w:t>A．E基因在体细胞和生殖细胞中均能表达</w:t>
      </w:r>
    </w:p>
    <w:p w14:paraId="57BD77BB">
      <w:pPr>
        <w:shd w:val="clear" w:color="auto" w:fill="auto"/>
        <w:spacing w:line="240" w:lineRule="auto"/>
        <w:ind w:left="300"/>
        <w:jc w:val="left"/>
        <w:textAlignment w:val="center"/>
        <w:rPr>
          <w:sz w:val="21"/>
        </w:rPr>
      </w:pPr>
      <w:r>
        <w:rPr>
          <w:sz w:val="21"/>
        </w:rPr>
        <w:t>B．ee个体的细胞中不能形成淀粉，所以该玉米果实皱缩</w:t>
      </w:r>
    </w:p>
    <w:p w14:paraId="549A74AD">
      <w:pPr>
        <w:shd w:val="clear" w:color="auto" w:fill="auto"/>
        <w:spacing w:line="240" w:lineRule="auto"/>
        <w:ind w:left="300"/>
        <w:jc w:val="left"/>
        <w:textAlignment w:val="center"/>
        <w:rPr>
          <w:sz w:val="21"/>
        </w:rPr>
      </w:pPr>
      <w:r>
        <w:rPr>
          <w:sz w:val="21"/>
        </w:rPr>
        <w:t>C．如果子代皱缩果实占比为0.0036%,则e的基因频率为0.6%</w:t>
      </w:r>
    </w:p>
    <w:p w14:paraId="44556EDF">
      <w:pPr>
        <w:shd w:val="clear" w:color="auto" w:fill="auto"/>
        <w:spacing w:line="240" w:lineRule="auto"/>
        <w:ind w:left="300"/>
        <w:jc w:val="left"/>
        <w:textAlignment w:val="center"/>
        <w:rPr>
          <w:sz w:val="21"/>
        </w:rPr>
      </w:pPr>
      <w:r>
        <w:rPr>
          <w:sz w:val="21"/>
        </w:rPr>
        <w:t>D．碘液染色花粉后计数，可以计算出纯合野生型植株E突变为e的频率</w:t>
      </w:r>
    </w:p>
    <w:p w14:paraId="28EFBA35">
      <w:pPr>
        <w:shd w:val="clear" w:color="auto" w:fill="auto"/>
        <w:spacing w:line="240" w:lineRule="auto"/>
        <w:jc w:val="left"/>
        <w:textAlignment w:val="center"/>
        <w:rPr>
          <w:sz w:val="21"/>
        </w:rPr>
      </w:pPr>
      <w:r>
        <w:rPr>
          <w:sz w:val="21"/>
        </w:rPr>
        <w:t>8．对如图所示实验的分析，正确的是（　　）</w:t>
      </w:r>
    </w:p>
    <w:p w14:paraId="3632BF51">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inline distT="0" distB="0" distL="114300" distR="114300">
            <wp:extent cx="3788410" cy="1703705"/>
            <wp:effectExtent l="0" t="0" r="8890" b="10795"/>
            <wp:docPr id="100011" name="图片 100011" descr="@@@856035ae-df43-47ac-b1aa-27bda71bbc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856035ae-df43-47ac-b1aa-27bda71bbc20"/>
                    <pic:cNvPicPr>
                      <a:picLocks noChangeAspect="1"/>
                    </pic:cNvPicPr>
                  </pic:nvPicPr>
                  <pic:blipFill>
                    <a:blip r:embed="rId15"/>
                    <a:stretch>
                      <a:fillRect/>
                    </a:stretch>
                  </pic:blipFill>
                  <pic:spPr>
                    <a:xfrm>
                      <a:off x="0" y="0"/>
                      <a:ext cx="3788410" cy="1703705"/>
                    </a:xfrm>
                    <a:prstGeom prst="rect">
                      <a:avLst/>
                    </a:prstGeom>
                  </pic:spPr>
                </pic:pic>
              </a:graphicData>
            </a:graphic>
          </wp:inline>
        </w:drawing>
      </w:r>
    </w:p>
    <w:p w14:paraId="71C2ED23">
      <w:pPr>
        <w:shd w:val="clear" w:color="auto" w:fill="auto"/>
        <w:spacing w:line="240" w:lineRule="auto"/>
        <w:ind w:left="300"/>
        <w:jc w:val="left"/>
        <w:textAlignment w:val="center"/>
        <w:rPr>
          <w:sz w:val="21"/>
        </w:rPr>
      </w:pPr>
      <w:r>
        <w:rPr>
          <w:sz w:val="21"/>
        </w:rPr>
        <w:t>A．C系鼠的皮肤对于子代A系鼠是抗体</w:t>
      </w:r>
    </w:p>
    <w:p w14:paraId="6FB5AE5C">
      <w:pPr>
        <w:shd w:val="clear" w:color="auto" w:fill="auto"/>
        <w:spacing w:line="240" w:lineRule="auto"/>
        <w:ind w:left="300"/>
        <w:jc w:val="left"/>
        <w:textAlignment w:val="center"/>
        <w:rPr>
          <w:sz w:val="21"/>
        </w:rPr>
      </w:pPr>
      <w:r>
        <w:rPr>
          <w:sz w:val="21"/>
        </w:rPr>
        <w:t>B．子代A系鼠体内的T细胞裂解了移植的B系鼠皮肤细胞</w:t>
      </w:r>
    </w:p>
    <w:p w14:paraId="02DB0209">
      <w:pPr>
        <w:shd w:val="clear" w:color="auto" w:fill="auto"/>
        <w:spacing w:line="240" w:lineRule="auto"/>
        <w:ind w:left="300"/>
        <w:jc w:val="left"/>
        <w:textAlignment w:val="center"/>
        <w:rPr>
          <w:sz w:val="21"/>
        </w:rPr>
      </w:pPr>
      <w:r>
        <w:rPr>
          <w:sz w:val="21"/>
        </w:rPr>
        <w:t>C．子代A系鼠不排斥C系鼠皮肤的原因是无相应的效应T细胞</w:t>
      </w:r>
    </w:p>
    <w:p w14:paraId="2240E499">
      <w:pPr>
        <w:shd w:val="clear" w:color="auto" w:fill="auto"/>
        <w:spacing w:line="240" w:lineRule="auto"/>
        <w:ind w:left="300"/>
        <w:jc w:val="left"/>
        <w:textAlignment w:val="center"/>
        <w:rPr>
          <w:sz w:val="21"/>
        </w:rPr>
      </w:pPr>
      <w:r>
        <w:rPr>
          <w:sz w:val="21"/>
        </w:rPr>
        <w:t>D．注射淋巴细胞使子代A系鼠失去特异性免疫功能</w:t>
      </w:r>
    </w:p>
    <w:p w14:paraId="3D90526B">
      <w:pPr>
        <w:shd w:val="clear" w:color="auto" w:fill="auto"/>
        <w:spacing w:line="240" w:lineRule="auto"/>
        <w:jc w:val="left"/>
        <w:textAlignment w:val="center"/>
        <w:rPr>
          <w:sz w:val="21"/>
        </w:rPr>
      </w:pPr>
      <w:r>
        <w:rPr>
          <w:sz w:val="21"/>
        </w:rPr>
        <w:t>9．某研究小组为探究NAA、IAA和IBA三种生长素类似物对竹柳扦插生根效果的影响，进行了相关实验，实验结果如下表所示。据表分析错误的是</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2222"/>
        <w:gridCol w:w="682"/>
        <w:gridCol w:w="722"/>
        <w:gridCol w:w="722"/>
        <w:gridCol w:w="702"/>
        <w:gridCol w:w="722"/>
        <w:gridCol w:w="722"/>
        <w:gridCol w:w="702"/>
        <w:gridCol w:w="722"/>
        <w:gridCol w:w="722"/>
      </w:tblGrid>
      <w:tr w14:paraId="59DE6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7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AFE6747">
            <w:pPr>
              <w:shd w:val="clear" w:color="auto" w:fill="auto"/>
              <w:spacing w:line="240" w:lineRule="auto"/>
              <w:jc w:val="left"/>
              <w:textAlignment w:val="center"/>
              <w:rPr>
                <w:sz w:val="21"/>
              </w:rPr>
            </w:pPr>
            <w:r>
              <w:rPr>
                <w:sz w:val="21"/>
              </w:rPr>
              <w:t>生长素类似物</w:t>
            </w:r>
          </w:p>
        </w:tc>
        <w:tc>
          <w:tcPr>
            <w:tcW w:w="1605" w:type="dxa"/>
            <w:gridSpan w:val="3"/>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05F0A08">
            <w:pPr>
              <w:shd w:val="clear" w:color="auto" w:fill="auto"/>
              <w:spacing w:line="240" w:lineRule="auto"/>
              <w:jc w:val="left"/>
              <w:textAlignment w:val="center"/>
              <w:rPr>
                <w:sz w:val="21"/>
              </w:rPr>
            </w:pPr>
            <w:r>
              <w:rPr>
                <w:sz w:val="21"/>
              </w:rPr>
              <w:t>NAA</w:t>
            </w:r>
          </w:p>
        </w:tc>
        <w:tc>
          <w:tcPr>
            <w:tcW w:w="1620" w:type="dxa"/>
            <w:gridSpan w:val="3"/>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987B20A">
            <w:pPr>
              <w:shd w:val="clear" w:color="auto" w:fill="auto"/>
              <w:spacing w:line="240" w:lineRule="auto"/>
              <w:jc w:val="left"/>
              <w:textAlignment w:val="center"/>
              <w:rPr>
                <w:sz w:val="21"/>
              </w:rPr>
            </w:pPr>
            <w:r>
              <w:rPr>
                <w:sz w:val="21"/>
              </w:rPr>
              <w:t>IAA</w:t>
            </w:r>
          </w:p>
        </w:tc>
        <w:tc>
          <w:tcPr>
            <w:tcW w:w="1620" w:type="dxa"/>
            <w:gridSpan w:val="3"/>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666E14B">
            <w:pPr>
              <w:shd w:val="clear" w:color="auto" w:fill="auto"/>
              <w:spacing w:line="240" w:lineRule="auto"/>
              <w:jc w:val="left"/>
              <w:textAlignment w:val="center"/>
              <w:rPr>
                <w:sz w:val="21"/>
              </w:rPr>
            </w:pPr>
            <w:r>
              <w:rPr>
                <w:sz w:val="21"/>
              </w:rPr>
              <w:t>IBA</w:t>
            </w:r>
          </w:p>
        </w:tc>
      </w:tr>
      <w:tr w14:paraId="727E5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7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21D9832">
            <w:pPr>
              <w:shd w:val="clear" w:color="auto" w:fill="auto"/>
              <w:spacing w:line="240" w:lineRule="auto"/>
              <w:jc w:val="left"/>
              <w:textAlignment w:val="center"/>
              <w:rPr>
                <w:sz w:val="21"/>
              </w:rPr>
            </w:pPr>
            <w:r>
              <w:rPr>
                <w:sz w:val="21"/>
              </w:rPr>
              <w:t>浓度(mg/L)</w:t>
            </w:r>
          </w:p>
        </w:tc>
        <w:tc>
          <w:tcPr>
            <w:tcW w:w="5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0E16445">
            <w:pPr>
              <w:shd w:val="clear" w:color="auto" w:fill="auto"/>
              <w:spacing w:line="240" w:lineRule="auto"/>
              <w:jc w:val="left"/>
              <w:textAlignment w:val="center"/>
              <w:rPr>
                <w:sz w:val="21"/>
              </w:rPr>
            </w:pPr>
            <w:r>
              <w:rPr>
                <w:sz w:val="21"/>
              </w:rPr>
              <w:t>50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230C0E8">
            <w:pPr>
              <w:shd w:val="clear" w:color="auto" w:fill="auto"/>
              <w:spacing w:line="240" w:lineRule="auto"/>
              <w:jc w:val="left"/>
              <w:textAlignment w:val="center"/>
              <w:rPr>
                <w:sz w:val="21"/>
              </w:rPr>
            </w:pPr>
            <w:r>
              <w:rPr>
                <w:sz w:val="21"/>
              </w:rPr>
              <w:t>100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8DBA55D">
            <w:pPr>
              <w:shd w:val="clear" w:color="auto" w:fill="auto"/>
              <w:spacing w:line="240" w:lineRule="auto"/>
              <w:jc w:val="left"/>
              <w:textAlignment w:val="center"/>
              <w:rPr>
                <w:sz w:val="21"/>
              </w:rPr>
            </w:pPr>
            <w:r>
              <w:rPr>
                <w:sz w:val="21"/>
              </w:rPr>
              <w:t>200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B024888">
            <w:pPr>
              <w:shd w:val="clear" w:color="auto" w:fill="auto"/>
              <w:spacing w:line="240" w:lineRule="auto"/>
              <w:jc w:val="left"/>
              <w:textAlignment w:val="center"/>
              <w:rPr>
                <w:sz w:val="21"/>
              </w:rPr>
            </w:pPr>
            <w:r>
              <w:rPr>
                <w:sz w:val="21"/>
              </w:rPr>
              <w:t>50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A4A45A2">
            <w:pPr>
              <w:shd w:val="clear" w:color="auto" w:fill="auto"/>
              <w:spacing w:line="240" w:lineRule="auto"/>
              <w:jc w:val="left"/>
              <w:textAlignment w:val="center"/>
              <w:rPr>
                <w:sz w:val="21"/>
              </w:rPr>
            </w:pPr>
            <w:r>
              <w:rPr>
                <w:sz w:val="21"/>
              </w:rPr>
              <w:t>100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BB696AB">
            <w:pPr>
              <w:shd w:val="clear" w:color="auto" w:fill="auto"/>
              <w:spacing w:line="240" w:lineRule="auto"/>
              <w:jc w:val="left"/>
              <w:textAlignment w:val="center"/>
              <w:rPr>
                <w:sz w:val="21"/>
              </w:rPr>
            </w:pPr>
            <w:r>
              <w:rPr>
                <w:sz w:val="21"/>
              </w:rPr>
              <w:t>200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98DD2DC">
            <w:pPr>
              <w:shd w:val="clear" w:color="auto" w:fill="auto"/>
              <w:spacing w:line="240" w:lineRule="auto"/>
              <w:jc w:val="left"/>
              <w:textAlignment w:val="center"/>
              <w:rPr>
                <w:sz w:val="21"/>
              </w:rPr>
            </w:pPr>
            <w:r>
              <w:rPr>
                <w:sz w:val="21"/>
              </w:rPr>
              <w:t>50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1E79957">
            <w:pPr>
              <w:shd w:val="clear" w:color="auto" w:fill="auto"/>
              <w:spacing w:line="240" w:lineRule="auto"/>
              <w:jc w:val="left"/>
              <w:textAlignment w:val="center"/>
              <w:rPr>
                <w:sz w:val="21"/>
              </w:rPr>
            </w:pPr>
            <w:r>
              <w:rPr>
                <w:sz w:val="21"/>
              </w:rPr>
              <w:t>100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E0CD4AB">
            <w:pPr>
              <w:shd w:val="clear" w:color="auto" w:fill="auto"/>
              <w:spacing w:line="240" w:lineRule="auto"/>
              <w:jc w:val="left"/>
              <w:textAlignment w:val="center"/>
              <w:rPr>
                <w:sz w:val="21"/>
              </w:rPr>
            </w:pPr>
            <w:r>
              <w:rPr>
                <w:sz w:val="21"/>
              </w:rPr>
              <w:t>200</w:t>
            </w:r>
          </w:p>
        </w:tc>
      </w:tr>
      <w:tr w14:paraId="11E75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7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5D56587">
            <w:pPr>
              <w:shd w:val="clear" w:color="auto" w:fill="auto"/>
              <w:spacing w:line="240" w:lineRule="auto"/>
              <w:jc w:val="left"/>
              <w:textAlignment w:val="center"/>
              <w:rPr>
                <w:sz w:val="21"/>
              </w:rPr>
            </w:pPr>
            <w:r>
              <w:rPr>
                <w:sz w:val="21"/>
              </w:rPr>
              <w:t>7天生根率(%)</w:t>
            </w:r>
          </w:p>
        </w:tc>
        <w:tc>
          <w:tcPr>
            <w:tcW w:w="5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9FFEA49">
            <w:pPr>
              <w:shd w:val="clear" w:color="auto" w:fill="auto"/>
              <w:spacing w:line="240" w:lineRule="auto"/>
              <w:jc w:val="left"/>
              <w:textAlignment w:val="center"/>
              <w:rPr>
                <w:sz w:val="21"/>
              </w:rPr>
            </w:pPr>
            <w:r>
              <w:rPr>
                <w:sz w:val="21"/>
              </w:rPr>
              <w:t>52</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1C2A7F4">
            <w:pPr>
              <w:shd w:val="clear" w:color="auto" w:fill="auto"/>
              <w:spacing w:line="240" w:lineRule="auto"/>
              <w:jc w:val="left"/>
              <w:textAlignment w:val="center"/>
              <w:rPr>
                <w:sz w:val="21"/>
              </w:rPr>
            </w:pPr>
            <w:r>
              <w:rPr>
                <w:sz w:val="21"/>
              </w:rPr>
              <w:t>73</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BD9B221">
            <w:pPr>
              <w:shd w:val="clear" w:color="auto" w:fill="auto"/>
              <w:spacing w:line="240" w:lineRule="auto"/>
              <w:jc w:val="left"/>
              <w:textAlignment w:val="center"/>
              <w:rPr>
                <w:sz w:val="21"/>
              </w:rPr>
            </w:pPr>
            <w:r>
              <w:rPr>
                <w:sz w:val="21"/>
              </w:rPr>
              <w:t>63</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CCEF569">
            <w:pPr>
              <w:shd w:val="clear" w:color="auto" w:fill="auto"/>
              <w:spacing w:line="240" w:lineRule="auto"/>
              <w:jc w:val="left"/>
              <w:textAlignment w:val="center"/>
              <w:rPr>
                <w:sz w:val="21"/>
              </w:rPr>
            </w:pPr>
            <w:r>
              <w:rPr>
                <w:sz w:val="21"/>
              </w:rPr>
              <w:t>52</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9227359">
            <w:pPr>
              <w:shd w:val="clear" w:color="auto" w:fill="auto"/>
              <w:spacing w:line="240" w:lineRule="auto"/>
              <w:jc w:val="left"/>
              <w:textAlignment w:val="center"/>
              <w:rPr>
                <w:sz w:val="21"/>
              </w:rPr>
            </w:pPr>
            <w:r>
              <w:rPr>
                <w:sz w:val="21"/>
              </w:rPr>
              <w:t>65</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9315B1D">
            <w:pPr>
              <w:shd w:val="clear" w:color="auto" w:fill="auto"/>
              <w:spacing w:line="240" w:lineRule="auto"/>
              <w:jc w:val="left"/>
              <w:textAlignment w:val="center"/>
              <w:rPr>
                <w:sz w:val="21"/>
              </w:rPr>
            </w:pPr>
            <w:r>
              <w:rPr>
                <w:sz w:val="21"/>
              </w:rPr>
              <w:t>60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F8B4E46">
            <w:pPr>
              <w:shd w:val="clear" w:color="auto" w:fill="auto"/>
              <w:spacing w:line="240" w:lineRule="auto"/>
              <w:jc w:val="left"/>
              <w:textAlignment w:val="center"/>
              <w:rPr>
                <w:sz w:val="21"/>
              </w:rPr>
            </w:pPr>
            <w:r>
              <w:rPr>
                <w:sz w:val="21"/>
              </w:rPr>
              <w:t>79</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C357E1E">
            <w:pPr>
              <w:shd w:val="clear" w:color="auto" w:fill="auto"/>
              <w:spacing w:line="240" w:lineRule="auto"/>
              <w:jc w:val="left"/>
              <w:textAlignment w:val="center"/>
              <w:rPr>
                <w:sz w:val="21"/>
              </w:rPr>
            </w:pPr>
            <w:r>
              <w:rPr>
                <w:sz w:val="21"/>
              </w:rPr>
              <w:t>80</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2901C8D">
            <w:pPr>
              <w:shd w:val="clear" w:color="auto" w:fill="auto"/>
              <w:spacing w:line="240" w:lineRule="auto"/>
              <w:jc w:val="left"/>
              <w:textAlignment w:val="center"/>
              <w:rPr>
                <w:sz w:val="21"/>
              </w:rPr>
            </w:pPr>
            <w:r>
              <w:rPr>
                <w:sz w:val="21"/>
              </w:rPr>
              <w:t>72</w:t>
            </w:r>
          </w:p>
        </w:tc>
      </w:tr>
      <w:tr w14:paraId="315CB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171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BAE263D">
            <w:pPr>
              <w:shd w:val="clear" w:color="auto" w:fill="auto"/>
              <w:spacing w:line="240" w:lineRule="auto"/>
              <w:jc w:val="left"/>
              <w:textAlignment w:val="center"/>
              <w:rPr>
                <w:sz w:val="21"/>
              </w:rPr>
            </w:pPr>
            <w:r>
              <w:rPr>
                <w:sz w:val="21"/>
              </w:rPr>
              <w:t>14天生根率(%)</w:t>
            </w:r>
          </w:p>
        </w:tc>
        <w:tc>
          <w:tcPr>
            <w:tcW w:w="52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68F99E1">
            <w:pPr>
              <w:shd w:val="clear" w:color="auto" w:fill="auto"/>
              <w:spacing w:line="240" w:lineRule="auto"/>
              <w:jc w:val="left"/>
              <w:textAlignment w:val="center"/>
              <w:rPr>
                <w:sz w:val="21"/>
              </w:rPr>
            </w:pPr>
            <w:r>
              <w:rPr>
                <w:sz w:val="21"/>
              </w:rPr>
              <w:t>63</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7C7E0FE">
            <w:pPr>
              <w:shd w:val="clear" w:color="auto" w:fill="auto"/>
              <w:spacing w:line="240" w:lineRule="auto"/>
              <w:jc w:val="left"/>
              <w:textAlignment w:val="center"/>
              <w:rPr>
                <w:sz w:val="21"/>
              </w:rPr>
            </w:pPr>
            <w:r>
              <w:rPr>
                <w:sz w:val="21"/>
              </w:rPr>
              <w:t>79</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3A04E87">
            <w:pPr>
              <w:shd w:val="clear" w:color="auto" w:fill="auto"/>
              <w:spacing w:line="240" w:lineRule="auto"/>
              <w:jc w:val="left"/>
              <w:textAlignment w:val="center"/>
              <w:rPr>
                <w:sz w:val="21"/>
              </w:rPr>
            </w:pPr>
            <w:r>
              <w:rPr>
                <w:sz w:val="21"/>
              </w:rPr>
              <w:t>75</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F787FCC">
            <w:pPr>
              <w:shd w:val="clear" w:color="auto" w:fill="auto"/>
              <w:spacing w:line="240" w:lineRule="auto"/>
              <w:jc w:val="left"/>
              <w:textAlignment w:val="center"/>
              <w:rPr>
                <w:sz w:val="21"/>
              </w:rPr>
            </w:pPr>
            <w:r>
              <w:rPr>
                <w:sz w:val="21"/>
              </w:rPr>
              <w:t>54</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B28B053">
            <w:pPr>
              <w:shd w:val="clear" w:color="auto" w:fill="auto"/>
              <w:spacing w:line="240" w:lineRule="auto"/>
              <w:jc w:val="left"/>
              <w:textAlignment w:val="center"/>
              <w:rPr>
                <w:sz w:val="21"/>
              </w:rPr>
            </w:pPr>
            <w:r>
              <w:rPr>
                <w:sz w:val="21"/>
              </w:rPr>
              <w:t>65</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22A8C13">
            <w:pPr>
              <w:shd w:val="clear" w:color="auto" w:fill="auto"/>
              <w:spacing w:line="240" w:lineRule="auto"/>
              <w:jc w:val="left"/>
              <w:textAlignment w:val="center"/>
              <w:rPr>
                <w:sz w:val="21"/>
              </w:rPr>
            </w:pPr>
            <w:r>
              <w:rPr>
                <w:sz w:val="21"/>
              </w:rPr>
              <w:t>59</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FCBAA09">
            <w:pPr>
              <w:shd w:val="clear" w:color="auto" w:fill="auto"/>
              <w:spacing w:line="240" w:lineRule="auto"/>
              <w:jc w:val="left"/>
              <w:textAlignment w:val="center"/>
              <w:rPr>
                <w:sz w:val="21"/>
              </w:rPr>
            </w:pPr>
            <w:r>
              <w:rPr>
                <w:sz w:val="21"/>
              </w:rPr>
              <w:t>84</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78712EB">
            <w:pPr>
              <w:shd w:val="clear" w:color="auto" w:fill="auto"/>
              <w:spacing w:line="240" w:lineRule="auto"/>
              <w:jc w:val="left"/>
              <w:textAlignment w:val="center"/>
              <w:rPr>
                <w:sz w:val="21"/>
              </w:rPr>
            </w:pPr>
            <w:r>
              <w:rPr>
                <w:sz w:val="21"/>
              </w:rPr>
              <w:t>87</w:t>
            </w:r>
          </w:p>
        </w:tc>
        <w:tc>
          <w:tcPr>
            <w:tcW w:w="54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F8D0E1D">
            <w:pPr>
              <w:shd w:val="clear" w:color="auto" w:fill="auto"/>
              <w:spacing w:line="240" w:lineRule="auto"/>
              <w:jc w:val="left"/>
              <w:textAlignment w:val="center"/>
              <w:rPr>
                <w:sz w:val="21"/>
              </w:rPr>
            </w:pPr>
            <w:r>
              <w:rPr>
                <w:sz w:val="21"/>
              </w:rPr>
              <w:t>82</w:t>
            </w:r>
          </w:p>
        </w:tc>
      </w:tr>
    </w:tbl>
    <w:p w14:paraId="6FF395E4">
      <w:pPr>
        <w:shd w:val="clear" w:color="auto" w:fill="auto"/>
        <w:spacing w:line="240" w:lineRule="auto"/>
        <w:ind w:left="300"/>
        <w:jc w:val="left"/>
        <w:textAlignment w:val="center"/>
        <w:rPr>
          <w:sz w:val="21"/>
        </w:rPr>
      </w:pPr>
      <w:r>
        <w:rPr>
          <w:sz w:val="21"/>
        </w:rPr>
        <w:t>A．该实验的自变量有类似物种类和浓度</w:t>
      </w:r>
    </w:p>
    <w:p w14:paraId="6613B65C">
      <w:pPr>
        <w:shd w:val="clear" w:color="auto" w:fill="auto"/>
        <w:spacing w:line="240" w:lineRule="auto"/>
        <w:ind w:left="300"/>
        <w:jc w:val="left"/>
        <w:textAlignment w:val="center"/>
        <w:rPr>
          <w:sz w:val="21"/>
        </w:rPr>
      </w:pPr>
      <w:r>
        <w:rPr>
          <w:sz w:val="21"/>
        </w:rPr>
        <w:t>B．该实验设计从科学性分析缺少空白对照</w:t>
      </w:r>
    </w:p>
    <w:p w14:paraId="03F203E6">
      <w:pPr>
        <w:shd w:val="clear" w:color="auto" w:fill="auto"/>
        <w:spacing w:line="240" w:lineRule="auto"/>
        <w:ind w:left="300"/>
        <w:jc w:val="left"/>
        <w:textAlignment w:val="center"/>
        <w:rPr>
          <w:sz w:val="21"/>
        </w:rPr>
      </w:pPr>
      <w:r>
        <w:rPr>
          <w:sz w:val="21"/>
        </w:rPr>
        <w:t>C．三种类似物对生根效果的影响相似</w:t>
      </w:r>
    </w:p>
    <w:p w14:paraId="0EAC79EF">
      <w:pPr>
        <w:shd w:val="clear" w:color="auto" w:fill="auto"/>
        <w:spacing w:line="240" w:lineRule="auto"/>
        <w:ind w:left="300"/>
        <w:jc w:val="left"/>
        <w:textAlignment w:val="center"/>
        <w:rPr>
          <w:sz w:val="21"/>
        </w:rPr>
      </w:pPr>
      <w:r>
        <w:rPr>
          <w:sz w:val="21"/>
        </w:rPr>
        <w:t>D．类似物种类对生根的影响小于类似物浓度</w:t>
      </w:r>
    </w:p>
    <w:p w14:paraId="6D4BAA37">
      <w:pPr>
        <w:shd w:val="clear" w:color="auto" w:fill="auto"/>
        <w:spacing w:line="240" w:lineRule="auto"/>
        <w:jc w:val="left"/>
        <w:textAlignment w:val="center"/>
        <w:rPr>
          <w:sz w:val="21"/>
        </w:rPr>
      </w:pPr>
      <w:r>
        <w:rPr>
          <w:sz w:val="21"/>
        </w:rPr>
        <w:t>10．三趾树懒是一种移动缓慢、代谢率极低的植食性动物，这种动物不直接从树冠“空投”粪便，而是每隔一段时间爬下树排便。研究发现，这种树懒到地面排便时，躲在皮毛里的树懒蛾就伺机在大便中产卵，卵孵化后的幼虫专食树懒大便，而羽化后的树懒蛾又会寻找树懒钻进其皮毛中。蛾死掉后被分解者分解，产生的无机氮促进树懒皮毛中绿藻的生长，绿藻能帮助树懒躲避天敌，也可供树懒食用。下列相关叙述，正确的是</w:t>
      </w:r>
      <w:r>
        <w:rPr>
          <w:rFonts w:ascii="Times New Roman" w:hAnsi="Times New Roman" w:eastAsia="Times New Roman" w:cs="Times New Roman"/>
          <w:kern w:val="0"/>
          <w:sz w:val="24"/>
          <w:szCs w:val="24"/>
        </w:rPr>
        <w:t>           </w:t>
      </w:r>
      <w:r>
        <w:rPr>
          <w:sz w:val="21"/>
        </w:rPr>
        <w:t>（ ）</w:t>
      </w:r>
    </w:p>
    <w:p w14:paraId="0A3C8F9E">
      <w:pPr>
        <w:shd w:val="clear" w:color="auto" w:fill="auto"/>
        <w:spacing w:line="240" w:lineRule="auto"/>
        <w:ind w:left="380"/>
        <w:jc w:val="left"/>
        <w:textAlignment w:val="center"/>
        <w:rPr>
          <w:sz w:val="21"/>
        </w:rPr>
      </w:pPr>
      <w:r>
        <w:rPr>
          <w:sz w:val="21"/>
        </w:rPr>
        <w:t>A．三趾树懒和绿藻之间只有捕食关系</w:t>
      </w:r>
    </w:p>
    <w:p w14:paraId="3E7CE10F">
      <w:pPr>
        <w:shd w:val="clear" w:color="auto" w:fill="auto"/>
        <w:spacing w:line="240" w:lineRule="auto"/>
        <w:ind w:left="380"/>
        <w:jc w:val="left"/>
        <w:textAlignment w:val="center"/>
        <w:rPr>
          <w:sz w:val="21"/>
        </w:rPr>
      </w:pPr>
      <w:r>
        <w:rPr>
          <w:sz w:val="21"/>
        </w:rPr>
        <w:t>B．三趾树懒爬下树排便耗能较多且易被天敌捕食</w:t>
      </w:r>
    </w:p>
    <w:p w14:paraId="117DAC56">
      <w:pPr>
        <w:shd w:val="clear" w:color="auto" w:fill="auto"/>
        <w:spacing w:line="240" w:lineRule="auto"/>
        <w:ind w:left="380"/>
        <w:jc w:val="left"/>
        <w:textAlignment w:val="center"/>
        <w:rPr>
          <w:sz w:val="21"/>
        </w:rPr>
      </w:pPr>
      <w:r>
        <w:rPr>
          <w:sz w:val="21"/>
        </w:rPr>
        <w:t>C．树懒蛾幼虫呼吸作用消耗的能量来自三趾树懒的同化能</w:t>
      </w:r>
    </w:p>
    <w:p w14:paraId="743CB408">
      <w:pPr>
        <w:shd w:val="clear" w:color="auto" w:fill="auto"/>
        <w:spacing w:line="240" w:lineRule="auto"/>
        <w:ind w:left="380"/>
        <w:jc w:val="left"/>
        <w:textAlignment w:val="center"/>
        <w:rPr>
          <w:sz w:val="21"/>
        </w:rPr>
      </w:pPr>
      <w:r>
        <w:rPr>
          <w:sz w:val="21"/>
        </w:rPr>
        <w:t>D．三趾树懒、树懒蛾和绿藻构成的生物群落相对稳定</w:t>
      </w:r>
    </w:p>
    <w:p w14:paraId="60274F57">
      <w:pPr>
        <w:shd w:val="clear" w:color="auto" w:fill="auto"/>
        <w:spacing w:line="240" w:lineRule="auto"/>
        <w:jc w:val="left"/>
        <w:textAlignment w:val="center"/>
        <w:rPr>
          <w:sz w:val="21"/>
        </w:rPr>
      </w:pPr>
      <w:r>
        <w:rPr>
          <w:sz w:val="21"/>
        </w:rPr>
        <w:t>11．“碳中和”是指国家、企业、产品、活动或个人在一定时间内直接或间接产生的二氧化碳或温室气体排放总量实现正负抵消，达到相对零排放。新农村建设开发沼气工程，以人畜粪便、秸秆为原料，产生的沼气可以为燃料，沼渣可以作为家禽的饲料及食用菌的培养基，沼液通入养鱼池用于促进浮游生物的生长，增加鱼的饲料，减少对林灌草地进行滥采滥伐，保护生态环境。下列说法错误的是（</w:t>
      </w:r>
      <w:r>
        <w:rPr>
          <w:rFonts w:ascii="Times New Roman" w:hAnsi="Times New Roman" w:eastAsia="Times New Roman" w:cs="Times New Roman"/>
          <w:kern w:val="0"/>
          <w:sz w:val="24"/>
          <w:szCs w:val="24"/>
        </w:rPr>
        <w:t>    </w:t>
      </w:r>
      <w:r>
        <w:rPr>
          <w:sz w:val="21"/>
        </w:rPr>
        <w:t>）</w:t>
      </w:r>
    </w:p>
    <w:p w14:paraId="376AD517">
      <w:pPr>
        <w:shd w:val="clear" w:color="auto" w:fill="auto"/>
        <w:spacing w:line="240" w:lineRule="auto"/>
        <w:ind w:left="380"/>
        <w:jc w:val="left"/>
        <w:textAlignment w:val="center"/>
        <w:rPr>
          <w:sz w:val="21"/>
        </w:rPr>
      </w:pPr>
      <w:r>
        <w:rPr>
          <w:sz w:val="21"/>
        </w:rPr>
        <w:t>A．沼气工程充分利用了循环原理，实现了能量的多级利用，大大提高了能量传递效率</w:t>
      </w:r>
    </w:p>
    <w:p w14:paraId="374C5290">
      <w:pPr>
        <w:shd w:val="clear" w:color="auto" w:fill="auto"/>
        <w:spacing w:line="240" w:lineRule="auto"/>
        <w:ind w:left="380"/>
        <w:jc w:val="left"/>
        <w:textAlignment w:val="center"/>
        <w:rPr>
          <w:sz w:val="21"/>
        </w:rPr>
      </w:pPr>
      <w:r>
        <w:rPr>
          <w:sz w:val="21"/>
        </w:rPr>
        <w:t>B．在保护林灌草地改善水土流失的过程中，体现了生物多样性的间接价值</w:t>
      </w:r>
    </w:p>
    <w:p w14:paraId="612E91DE">
      <w:pPr>
        <w:shd w:val="clear" w:color="auto" w:fill="auto"/>
        <w:spacing w:line="240" w:lineRule="auto"/>
        <w:ind w:left="380"/>
        <w:jc w:val="left"/>
        <w:textAlignment w:val="center"/>
        <w:rPr>
          <w:sz w:val="21"/>
        </w:rPr>
      </w:pPr>
      <w:r>
        <w:rPr>
          <w:sz w:val="21"/>
        </w:rPr>
        <w:t>C．对林灌草地进行保护后，很多鸟类和小动物迁入、定居，改变了演替的速度和方向</w:t>
      </w:r>
    </w:p>
    <w:p w14:paraId="63F4C711">
      <w:pPr>
        <w:shd w:val="clear" w:color="auto" w:fill="auto"/>
        <w:spacing w:line="240" w:lineRule="auto"/>
        <w:ind w:left="380"/>
        <w:jc w:val="left"/>
        <w:textAlignment w:val="center"/>
        <w:rPr>
          <w:sz w:val="21"/>
        </w:rPr>
      </w:pPr>
      <w:r>
        <w:rPr>
          <w:sz w:val="21"/>
        </w:rPr>
        <w:t>D．可以通过植树造林、种草、开发沼气等绿色清洁能源来尽早实现“碳中和”</w:t>
      </w:r>
    </w:p>
    <w:p w14:paraId="4755081A">
      <w:pPr>
        <w:shd w:val="clear" w:color="auto" w:fill="auto"/>
        <w:spacing w:line="240" w:lineRule="auto"/>
        <w:jc w:val="left"/>
        <w:textAlignment w:val="center"/>
        <w:rPr>
          <w:sz w:val="21"/>
        </w:rPr>
      </w:pPr>
      <w:r>
        <w:rPr>
          <w:sz w:val="21"/>
        </w:rPr>
        <w:t>12．2012年10月诺贝尔生理学或医学奖被英国科学家约翰·格登和日本医学教授山中伸弥夺得，他们在细胞核重新编程研究领域做出了杰出贡献。目前，山中伸弥和其他研究小组已把多种组织（包括肝、胃和大脑）的细胞，转变成了诱导多功能干细胞，并让诱导多功能干细胞分化成了皮肤、肌肉、软骨、神经细胞以及可以同步搏动的心脏细胞。下列相关叙述错误的是（</w:t>
      </w:r>
      <w:r>
        <w:rPr>
          <w:rFonts w:ascii="Times New Roman" w:hAnsi="Times New Roman" w:eastAsia="Times New Roman" w:cs="Times New Roman"/>
          <w:kern w:val="0"/>
          <w:sz w:val="24"/>
          <w:szCs w:val="24"/>
        </w:rPr>
        <w:t>    </w:t>
      </w:r>
      <w:r>
        <w:rPr>
          <w:sz w:val="21"/>
        </w:rPr>
        <w:t>）</w:t>
      </w:r>
    </w:p>
    <w:p w14:paraId="4B40B2A6">
      <w:pPr>
        <w:shd w:val="clear" w:color="auto" w:fill="auto"/>
        <w:spacing w:line="240" w:lineRule="auto"/>
        <w:ind w:left="380"/>
        <w:jc w:val="left"/>
        <w:textAlignment w:val="center"/>
        <w:rPr>
          <w:sz w:val="21"/>
        </w:rPr>
      </w:pPr>
      <w:r>
        <w:rPr>
          <w:sz w:val="21"/>
        </w:rPr>
        <w:t>A．成熟细胞被重新编程的过程中细胞的分化程度逐渐降低</w:t>
      </w:r>
    </w:p>
    <w:p w14:paraId="4351320B">
      <w:pPr>
        <w:shd w:val="clear" w:color="auto" w:fill="auto"/>
        <w:spacing w:line="240" w:lineRule="auto"/>
        <w:ind w:left="380"/>
        <w:jc w:val="left"/>
        <w:textAlignment w:val="center"/>
        <w:rPr>
          <w:sz w:val="21"/>
        </w:rPr>
      </w:pPr>
      <w:r>
        <w:rPr>
          <w:sz w:val="21"/>
        </w:rPr>
        <w:t>B．多功能干细胞能分化成神经细胞，神经细胞不能脱分化成多功能干细胞</w:t>
      </w:r>
    </w:p>
    <w:p w14:paraId="5C7C1961">
      <w:pPr>
        <w:shd w:val="clear" w:color="auto" w:fill="auto"/>
        <w:spacing w:line="240" w:lineRule="auto"/>
        <w:ind w:left="380"/>
        <w:jc w:val="left"/>
        <w:textAlignment w:val="center"/>
        <w:rPr>
          <w:sz w:val="21"/>
        </w:rPr>
      </w:pPr>
      <w:r>
        <w:rPr>
          <w:sz w:val="21"/>
        </w:rPr>
        <w:t>C．多功能干细胞与成熟细胞相比，细胞内DNA的含量不变，RNA的含量发生了变化</w:t>
      </w:r>
    </w:p>
    <w:p w14:paraId="432014B3">
      <w:pPr>
        <w:shd w:val="clear" w:color="auto" w:fill="auto"/>
        <w:spacing w:line="240" w:lineRule="auto"/>
        <w:ind w:left="380"/>
        <w:jc w:val="left"/>
        <w:textAlignment w:val="center"/>
        <w:rPr>
          <w:sz w:val="21"/>
        </w:rPr>
      </w:pPr>
      <w:r>
        <w:rPr>
          <w:sz w:val="21"/>
        </w:rPr>
        <w:t>D．诱导多功能干细胞分化的过程与基因有关，与细胞直接生活的微环境有关</w:t>
      </w:r>
    </w:p>
    <w:p w14:paraId="2C6AA058">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anchor distT="0" distB="0" distL="114300" distR="114300" simplePos="0" relativeHeight="251661312" behindDoc="0" locked="0" layoutInCell="1" allowOverlap="1">
            <wp:simplePos x="0" y="0"/>
            <wp:positionH relativeFrom="column">
              <wp:posOffset>3154045</wp:posOffset>
            </wp:positionH>
            <wp:positionV relativeFrom="paragraph">
              <wp:posOffset>982345</wp:posOffset>
            </wp:positionV>
            <wp:extent cx="2400935" cy="1231900"/>
            <wp:effectExtent l="0" t="0" r="12065" b="0"/>
            <wp:wrapNone/>
            <wp:docPr id="100013" name="图片 100013" descr="@@@551d28b7-a146-4ecf-92e6-8e18e241ad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551d28b7-a146-4ecf-92e6-8e18e241add4"/>
                    <pic:cNvPicPr>
                      <a:picLocks noChangeAspect="1"/>
                    </pic:cNvPicPr>
                  </pic:nvPicPr>
                  <pic:blipFill>
                    <a:blip r:embed="rId16">
                      <a:clrChange>
                        <a:clrFrom>
                          <a:srgbClr val="FFFFFF">
                            <a:alpha val="100000"/>
                          </a:srgbClr>
                        </a:clrFrom>
                        <a:clrTo>
                          <a:srgbClr val="FFFFFF">
                            <a:alpha val="100000"/>
                            <a:alpha val="0"/>
                          </a:srgbClr>
                        </a:clrTo>
                      </a:clrChange>
                    </a:blip>
                    <a:stretch>
                      <a:fillRect/>
                    </a:stretch>
                  </pic:blipFill>
                  <pic:spPr>
                    <a:xfrm>
                      <a:off x="0" y="0"/>
                      <a:ext cx="2400935" cy="1231900"/>
                    </a:xfrm>
                    <a:prstGeom prst="rect">
                      <a:avLst/>
                    </a:prstGeom>
                  </pic:spPr>
                </pic:pic>
              </a:graphicData>
            </a:graphic>
          </wp:anchor>
        </w:drawing>
      </w:r>
      <w:r>
        <w:rPr>
          <w:sz w:val="21"/>
        </w:rPr>
        <w:t>13．6-磷酸葡萄糖脱氢酶（G-6PD）有F和S两种类型，分别由一对等位基因X</w:t>
      </w:r>
      <w:r>
        <w:rPr>
          <w:sz w:val="21"/>
          <w:vertAlign w:val="superscript"/>
        </w:rPr>
        <w:t>F</w:t>
      </w:r>
      <w:r>
        <w:rPr>
          <w:sz w:val="21"/>
        </w:rPr>
        <w:t>和X</w:t>
      </w:r>
      <w:r>
        <w:rPr>
          <w:sz w:val="21"/>
          <w:vertAlign w:val="superscript"/>
        </w:rPr>
        <w:t>S</w:t>
      </w:r>
      <w:r>
        <w:rPr>
          <w:sz w:val="21"/>
        </w:rPr>
        <w:t>编码。基因型为X</w:t>
      </w:r>
      <w:r>
        <w:rPr>
          <w:sz w:val="21"/>
          <w:vertAlign w:val="superscript"/>
        </w:rPr>
        <w:t>F</w:t>
      </w:r>
      <w:r>
        <w:rPr>
          <w:sz w:val="21"/>
        </w:rPr>
        <w:t>X</w:t>
      </w:r>
      <w:r>
        <w:rPr>
          <w:sz w:val="21"/>
          <w:vertAlign w:val="superscript"/>
        </w:rPr>
        <w:t>S</w:t>
      </w:r>
      <w:r>
        <w:rPr>
          <w:sz w:val="21"/>
        </w:rPr>
        <w:t>的女性体细胞中的两个X染色体，会有一个随机失活，且这个细胞的后代相应的X染色体均会发生同样的变化。将基因型为X</w:t>
      </w:r>
      <w:r>
        <w:rPr>
          <w:sz w:val="21"/>
          <w:vertAlign w:val="superscript"/>
        </w:rPr>
        <w:t>F</w:t>
      </w:r>
      <w:r>
        <w:rPr>
          <w:sz w:val="21"/>
        </w:rPr>
        <w:t>X</w:t>
      </w:r>
      <w:r>
        <w:rPr>
          <w:sz w:val="21"/>
          <w:vertAlign w:val="superscript"/>
        </w:rPr>
        <w:t>S</w:t>
      </w:r>
      <w:r>
        <w:rPr>
          <w:sz w:val="21"/>
        </w:rPr>
        <w:t>的女性皮肤组织用胰蛋白酶处理后先进行细胞的原代培养，再对不同的单细胞分别进行单克隆培养。分别对原代培养和单克隆培养的细胞进行G-6PD蛋白电泳检测，结果如图。有关叙述错误的是（</w:t>
      </w:r>
      <w:r>
        <w:rPr>
          <w:rFonts w:ascii="Times New Roman" w:hAnsi="Times New Roman" w:eastAsia="Times New Roman" w:cs="Times New Roman"/>
          <w:kern w:val="0"/>
          <w:sz w:val="24"/>
          <w:szCs w:val="24"/>
        </w:rPr>
        <w:t>    </w:t>
      </w:r>
      <w:r>
        <w:rPr>
          <w:sz w:val="21"/>
        </w:rPr>
        <w:t>）</w:t>
      </w:r>
    </w:p>
    <w:p w14:paraId="4267DD3D">
      <w:pPr>
        <w:shd w:val="clear" w:color="auto" w:fill="auto"/>
        <w:spacing w:line="240" w:lineRule="auto"/>
        <w:jc w:val="both"/>
        <w:textAlignment w:val="center"/>
        <w:rPr>
          <w:sz w:val="21"/>
        </w:rPr>
      </w:pPr>
      <w:r>
        <w:rPr>
          <w:sz w:val="21"/>
        </w:rPr>
        <w:t>A．该过程用到的细胞工程技术主要是动物细胞培养</w:t>
      </w:r>
    </w:p>
    <w:p w14:paraId="1AFF7F85">
      <w:pPr>
        <w:shd w:val="clear" w:color="auto" w:fill="auto"/>
        <w:spacing w:line="240" w:lineRule="auto"/>
        <w:jc w:val="left"/>
        <w:textAlignment w:val="center"/>
        <w:rPr>
          <w:sz w:val="21"/>
        </w:rPr>
      </w:pPr>
      <w:r>
        <w:rPr>
          <w:sz w:val="21"/>
        </w:rPr>
        <w:t>B．用胰蛋白酶处理皮肤组织可使其分散成单个细胞</w:t>
      </w:r>
    </w:p>
    <w:p w14:paraId="51E7E0D9">
      <w:pPr>
        <w:shd w:val="clear" w:color="auto" w:fill="auto"/>
        <w:spacing w:line="240" w:lineRule="auto"/>
        <w:jc w:val="left"/>
        <w:textAlignment w:val="center"/>
        <w:rPr>
          <w:sz w:val="21"/>
        </w:rPr>
      </w:pPr>
      <w:r>
        <w:rPr>
          <w:sz w:val="21"/>
        </w:rPr>
        <w:t>C．原代培养细胞电泳图有2个条带是因为同时检测</w:t>
      </w:r>
    </w:p>
    <w:p w14:paraId="0FF73C38">
      <w:pPr>
        <w:shd w:val="clear" w:color="auto" w:fill="auto"/>
        <w:spacing w:line="240" w:lineRule="auto"/>
        <w:jc w:val="left"/>
        <w:textAlignment w:val="center"/>
        <w:rPr>
          <w:sz w:val="21"/>
        </w:rPr>
      </w:pPr>
      <w:r>
        <w:rPr>
          <w:sz w:val="21"/>
        </w:rPr>
        <w:t>了多个细胞</w:t>
      </w:r>
    </w:p>
    <w:p w14:paraId="00682DD9">
      <w:pPr>
        <w:shd w:val="clear" w:color="auto" w:fill="auto"/>
        <w:spacing w:line="240" w:lineRule="auto"/>
        <w:ind w:left="380"/>
        <w:jc w:val="left"/>
        <w:textAlignment w:val="center"/>
        <w:rPr>
          <w:sz w:val="21"/>
        </w:rPr>
      </w:pPr>
      <w:r>
        <w:rPr>
          <w:sz w:val="21"/>
        </w:rPr>
        <w:t>D．单克隆培养的细胞1、2、4、5、8、9与3、6、7所含基因不同</w:t>
      </w:r>
    </w:p>
    <w:p w14:paraId="06DCEF18">
      <w:pPr>
        <w:shd w:val="clear" w:color="auto" w:fill="auto"/>
        <w:spacing w:line="240" w:lineRule="auto"/>
        <w:jc w:val="left"/>
        <w:textAlignment w:val="center"/>
        <w:rPr>
          <w:sz w:val="21"/>
        </w:rPr>
      </w:pPr>
      <w:r>
        <w:rPr>
          <w:sz w:val="21"/>
        </w:rPr>
        <w:t>14．稻米胚乳直链淀粉含量高会导致食用品质差。研究发现，水稻蜡质基因（Wx）编码直链淀粉合成酶。若Wx基因中第226位碱基是正常的G，该位点所在的内含子能被正常剪接，胚乳中直链淀粉含最高，基因型记做GG；若该位点突变成T，则不能被正常剪接，胚乳中直链淀粉的合成水平会降低，基因型记做TT。为检测Wx基因该位点碱基是G或T，研究人员以待测水稻叶片总DNA为材料，以Wx基因片段设计引物如图所示，对PCR扩增产物经Acc Ⅰ酶切后电泳。已知引物1为5'－GCTTCACTTCTCTGCTTGTG－3'，两引物之间无另外的Acc Ⅰ酶的识别位点。下列叙述正确的是（</w:t>
      </w:r>
      <w:r>
        <w:rPr>
          <w:rFonts w:ascii="Times New Roman" w:hAnsi="Times New Roman" w:eastAsia="Times New Roman" w:cs="Times New Roman"/>
          <w:kern w:val="0"/>
          <w:sz w:val="24"/>
          <w:szCs w:val="24"/>
        </w:rPr>
        <w:t>    </w:t>
      </w:r>
      <w:r>
        <w:rPr>
          <w:sz w:val="21"/>
        </w:rPr>
        <w:t>）</w:t>
      </w:r>
    </w:p>
    <w:p w14:paraId="5655C7EE">
      <w:pPr>
        <w:shd w:val="clear" w:color="auto" w:fill="auto"/>
        <w:spacing w:line="240" w:lineRule="auto"/>
        <w:jc w:val="center"/>
        <w:textAlignment w:val="center"/>
        <w:rPr>
          <w:sz w:val="21"/>
        </w:rPr>
      </w:pPr>
      <w:r>
        <w:rPr>
          <w:rFonts w:ascii="Times New Roman" w:hAnsi="Times New Roman" w:eastAsia="Times New Roman" w:cs="Times New Roman"/>
          <w:strike w:val="0"/>
          <w:kern w:val="0"/>
          <w:sz w:val="24"/>
          <w:szCs w:val="24"/>
          <w:u w:val="none"/>
        </w:rPr>
        <w:drawing>
          <wp:inline distT="0" distB="0" distL="114300" distR="114300">
            <wp:extent cx="4340860" cy="1343025"/>
            <wp:effectExtent l="0" t="0" r="2540" b="3175"/>
            <wp:docPr id="100015" name="图片 100015" descr="@@@29262d8e-94c0-4bff-8733-7e62e4270f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29262d8e-94c0-4bff-8733-7e62e4270fd5"/>
                    <pic:cNvPicPr>
                      <a:picLocks noChangeAspect="1"/>
                    </pic:cNvPicPr>
                  </pic:nvPicPr>
                  <pic:blipFill>
                    <a:blip r:embed="rId17"/>
                    <a:stretch>
                      <a:fillRect/>
                    </a:stretch>
                  </pic:blipFill>
                  <pic:spPr>
                    <a:xfrm>
                      <a:off x="0" y="0"/>
                      <a:ext cx="4340860" cy="1343025"/>
                    </a:xfrm>
                    <a:prstGeom prst="rect">
                      <a:avLst/>
                    </a:prstGeom>
                  </pic:spPr>
                </pic:pic>
              </a:graphicData>
            </a:graphic>
          </wp:inline>
        </w:drawing>
      </w:r>
    </w:p>
    <w:p w14:paraId="71C08E5C">
      <w:pPr>
        <w:shd w:val="clear" w:color="auto" w:fill="auto"/>
        <w:spacing w:line="240" w:lineRule="auto"/>
        <w:ind w:left="380"/>
        <w:jc w:val="left"/>
        <w:textAlignment w:val="center"/>
        <w:rPr>
          <w:sz w:val="21"/>
        </w:rPr>
      </w:pPr>
      <w:r>
        <w:rPr>
          <w:sz w:val="21"/>
        </w:rPr>
        <w:t>A．该实验中需设计的引物2为5'－TTCAACTCTCGTTAAATCAT－3'</w:t>
      </w:r>
    </w:p>
    <w:p w14:paraId="35CC5C08">
      <w:pPr>
        <w:shd w:val="clear" w:color="auto" w:fill="auto"/>
        <w:spacing w:line="240" w:lineRule="auto"/>
        <w:ind w:left="380"/>
        <w:jc w:val="left"/>
        <w:textAlignment w:val="center"/>
        <w:rPr>
          <w:sz w:val="21"/>
        </w:rPr>
      </w:pPr>
      <w:r>
        <w:rPr>
          <w:sz w:val="21"/>
        </w:rPr>
        <w:t>B．若酶切产物只能观察到530bp的DNA条带，则表明该水稻品种为TT型</w:t>
      </w:r>
    </w:p>
    <w:p w14:paraId="7CBF16E1">
      <w:pPr>
        <w:shd w:val="clear" w:color="auto" w:fill="auto"/>
        <w:spacing w:line="240" w:lineRule="auto"/>
        <w:ind w:left="380"/>
        <w:jc w:val="left"/>
        <w:textAlignment w:val="center"/>
        <w:rPr>
          <w:sz w:val="21"/>
        </w:rPr>
      </w:pPr>
      <w:r>
        <w:rPr>
          <w:sz w:val="21"/>
        </w:rPr>
        <w:t>C．GT杂合型水稻品种酶切电泳结果为3条条带</w:t>
      </w:r>
    </w:p>
    <w:p w14:paraId="04285E7F">
      <w:pPr>
        <w:shd w:val="clear" w:color="auto" w:fill="auto"/>
        <w:spacing w:line="240" w:lineRule="auto"/>
        <w:ind w:left="380"/>
        <w:jc w:val="left"/>
        <w:textAlignment w:val="center"/>
        <w:rPr>
          <w:sz w:val="21"/>
        </w:rPr>
      </w:pPr>
      <w:r>
        <w:rPr>
          <w:sz w:val="21"/>
        </w:rPr>
        <w:t>D．组成上述两种淀粉合成酶的氨基酸的种类不同，数目相同</w:t>
      </w:r>
    </w:p>
    <w:p w14:paraId="251C53E7">
      <w:pPr>
        <w:spacing w:line="240" w:lineRule="auto"/>
        <w:jc w:val="left"/>
        <w:textAlignment w:val="center"/>
        <w:rPr>
          <w:rFonts w:ascii="宋体" w:hAnsi="宋体" w:eastAsia="宋体" w:cs="宋体"/>
          <w:b/>
          <w:i w:val="0"/>
          <w:color w:val="000000"/>
          <w:sz w:val="21"/>
        </w:rPr>
      </w:pPr>
      <w:r>
        <w:rPr>
          <w:rFonts w:ascii="宋体" w:hAnsi="宋体" w:eastAsia="宋体" w:cs="宋体"/>
          <w:b/>
          <w:i w:val="0"/>
          <w:color w:val="000000"/>
          <w:sz w:val="21"/>
        </w:rPr>
        <w:t>二、多选题</w:t>
      </w:r>
    </w:p>
    <w:p w14:paraId="7E2ED280">
      <w:pPr>
        <w:shd w:val="clear" w:color="auto" w:fill="auto"/>
        <w:spacing w:line="240" w:lineRule="auto"/>
        <w:jc w:val="left"/>
        <w:textAlignment w:val="center"/>
        <w:rPr>
          <w:sz w:val="21"/>
        </w:rPr>
      </w:pPr>
      <w:r>
        <w:rPr>
          <w:sz w:val="21"/>
        </w:rPr>
        <w:t>15．光合作用与细胞呼吸相互依存、密不可分，各自又具有相对的独立性。如图是某植物光合作用和细胞呼吸过程示意图，其中Ⅰ~Ⅶ代表物质，①~⑤代表过程。下列叙述错误的是（</w:t>
      </w:r>
      <w:r>
        <w:rPr>
          <w:rFonts w:ascii="Times New Roman" w:hAnsi="Times New Roman" w:eastAsia="Times New Roman" w:cs="Times New Roman"/>
          <w:kern w:val="0"/>
          <w:sz w:val="24"/>
          <w:szCs w:val="24"/>
        </w:rPr>
        <w:t>    </w:t>
      </w:r>
      <w:r>
        <w:rPr>
          <w:sz w:val="21"/>
        </w:rPr>
        <w:t>）</w:t>
      </w:r>
    </w:p>
    <w:p w14:paraId="34E8AF46">
      <w:pPr>
        <w:shd w:val="clear" w:color="auto" w:fill="auto"/>
        <w:spacing w:line="240" w:lineRule="auto"/>
        <w:jc w:val="both"/>
        <w:textAlignment w:val="center"/>
        <w:rPr>
          <w:sz w:val="21"/>
        </w:rPr>
      </w:pPr>
      <w:r>
        <w:rPr>
          <w:rFonts w:ascii="Times New Roman" w:hAnsi="Times New Roman" w:eastAsia="Times New Roman" w:cs="Times New Roman"/>
          <w:strike w:val="0"/>
          <w:kern w:val="0"/>
          <w:sz w:val="24"/>
          <w:szCs w:val="24"/>
          <w:u w:val="none"/>
        </w:rPr>
        <w:drawing>
          <wp:inline distT="0" distB="0" distL="114300" distR="114300">
            <wp:extent cx="4266565" cy="1642110"/>
            <wp:effectExtent l="0" t="0" r="635" b="8890"/>
            <wp:docPr id="100017" name="图片 100017" descr="@@@1bed4ee5-fed6-4a03-a9df-f594201d0d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1bed4ee5-fed6-4a03-a9df-f594201d0d55"/>
                    <pic:cNvPicPr>
                      <a:picLocks noChangeAspect="1"/>
                    </pic:cNvPicPr>
                  </pic:nvPicPr>
                  <pic:blipFill>
                    <a:blip r:embed="rId18"/>
                    <a:stretch>
                      <a:fillRect/>
                    </a:stretch>
                  </pic:blipFill>
                  <pic:spPr>
                    <a:xfrm>
                      <a:off x="0" y="0"/>
                      <a:ext cx="4266565" cy="1642110"/>
                    </a:xfrm>
                    <a:prstGeom prst="rect">
                      <a:avLst/>
                    </a:prstGeom>
                  </pic:spPr>
                </pic:pic>
              </a:graphicData>
            </a:graphic>
          </wp:inline>
        </w:drawing>
      </w:r>
    </w:p>
    <w:p w14:paraId="583984E7">
      <w:pPr>
        <w:shd w:val="clear" w:color="auto" w:fill="auto"/>
        <w:spacing w:line="240" w:lineRule="auto"/>
        <w:ind w:left="380"/>
        <w:jc w:val="left"/>
        <w:textAlignment w:val="center"/>
        <w:rPr>
          <w:sz w:val="21"/>
        </w:rPr>
      </w:pPr>
      <w:r>
        <w:rPr>
          <w:sz w:val="21"/>
        </w:rPr>
        <w:t>A．图中Ⅶ被相邻细胞利用至少需要穿过5层生物膜</w:t>
      </w:r>
    </w:p>
    <w:p w14:paraId="5DB30602">
      <w:pPr>
        <w:shd w:val="clear" w:color="auto" w:fill="auto"/>
        <w:spacing w:line="240" w:lineRule="auto"/>
        <w:ind w:left="380"/>
        <w:jc w:val="left"/>
        <w:textAlignment w:val="center"/>
        <w:rPr>
          <w:sz w:val="21"/>
        </w:rPr>
      </w:pPr>
      <w:r>
        <w:rPr>
          <w:sz w:val="21"/>
        </w:rPr>
        <w:t>B．图中Ⅱ和V、Ⅲ和Ⅶ分别是同一种物质，Ⅰ和Ⅳ是不同物质</w:t>
      </w:r>
    </w:p>
    <w:p w14:paraId="72B7C04E">
      <w:pPr>
        <w:shd w:val="clear" w:color="auto" w:fill="auto"/>
        <w:spacing w:line="240" w:lineRule="auto"/>
        <w:ind w:left="380"/>
        <w:jc w:val="left"/>
        <w:textAlignment w:val="center"/>
        <w:rPr>
          <w:sz w:val="21"/>
        </w:rPr>
      </w:pPr>
      <w:r>
        <w:rPr>
          <w:sz w:val="21"/>
        </w:rPr>
        <w:t>C．图中①~⑤均伴随着ATP的合成或水解，其中③合成的ATP可被②利用</w:t>
      </w:r>
    </w:p>
    <w:p w14:paraId="0CD6AF17">
      <w:pPr>
        <w:shd w:val="clear" w:color="auto" w:fill="auto"/>
        <w:spacing w:line="240" w:lineRule="auto"/>
        <w:ind w:left="380"/>
        <w:jc w:val="left"/>
        <w:textAlignment w:val="center"/>
        <w:rPr>
          <w:sz w:val="21"/>
        </w:rPr>
      </w:pPr>
      <w:r>
        <w:rPr>
          <w:sz w:val="21"/>
        </w:rPr>
        <w:t>D．光合作用的产物脂肪、糖类、蛋白质的合成或分解都可通过细胞呼吸联系起来</w:t>
      </w:r>
    </w:p>
    <w:p w14:paraId="06C42BD7">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anchor distT="0" distB="0" distL="114300" distR="114300" simplePos="0" relativeHeight="251662336" behindDoc="0" locked="0" layoutInCell="1" allowOverlap="1">
            <wp:simplePos x="0" y="0"/>
            <wp:positionH relativeFrom="column">
              <wp:posOffset>294005</wp:posOffset>
            </wp:positionH>
            <wp:positionV relativeFrom="paragraph">
              <wp:posOffset>586740</wp:posOffset>
            </wp:positionV>
            <wp:extent cx="1681480" cy="1727200"/>
            <wp:effectExtent l="0" t="0" r="7620" b="0"/>
            <wp:wrapNone/>
            <wp:docPr id="100019" name="图片 100019" descr="@@@5a6010f9-4c31-4cbc-a6ea-cfe1c9ce4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5a6010f9-4c31-4cbc-a6ea-cfe1c9ce4708"/>
                    <pic:cNvPicPr>
                      <a:picLocks noChangeAspect="1"/>
                    </pic:cNvPicPr>
                  </pic:nvPicPr>
                  <pic:blipFill>
                    <a:blip r:embed="rId19"/>
                    <a:stretch>
                      <a:fillRect/>
                    </a:stretch>
                  </pic:blipFill>
                  <pic:spPr>
                    <a:xfrm>
                      <a:off x="0" y="0"/>
                      <a:ext cx="1681480" cy="1727200"/>
                    </a:xfrm>
                    <a:prstGeom prst="rect">
                      <a:avLst/>
                    </a:prstGeom>
                  </pic:spPr>
                </pic:pic>
              </a:graphicData>
            </a:graphic>
          </wp:anchor>
        </w:drawing>
      </w:r>
      <w:r>
        <w:rPr>
          <w:sz w:val="21"/>
        </w:rPr>
        <w:t>16．斑马鱼的受精卵中的基因M发生突变，胚胎将无法正常发育，这种胚胎称作突变型胚胎。为探究突变型胚胎无法发育的机理，研究人员检测了不同发育时间的突变型和野生型胚胎细胞中的DNA含量，结果如图所示。下列叙述正确的是（</w:t>
      </w:r>
      <w:r>
        <w:rPr>
          <w:rFonts w:ascii="Times New Roman" w:hAnsi="Times New Roman" w:eastAsia="Times New Roman" w:cs="Times New Roman"/>
          <w:kern w:val="0"/>
          <w:sz w:val="24"/>
          <w:szCs w:val="24"/>
        </w:rPr>
        <w:t>    </w:t>
      </w:r>
      <w:r>
        <w:rPr>
          <w:sz w:val="21"/>
        </w:rPr>
        <w:t>）</w:t>
      </w:r>
    </w:p>
    <w:p w14:paraId="7574B1BF">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anchor distT="0" distB="0" distL="114300" distR="114300" simplePos="0" relativeHeight="251664384" behindDoc="0" locked="0" layoutInCell="1" allowOverlap="1">
            <wp:simplePos x="0" y="0"/>
            <wp:positionH relativeFrom="column">
              <wp:posOffset>3665855</wp:posOffset>
            </wp:positionH>
            <wp:positionV relativeFrom="paragraph">
              <wp:posOffset>43180</wp:posOffset>
            </wp:positionV>
            <wp:extent cx="1680210" cy="1727200"/>
            <wp:effectExtent l="0" t="0" r="8890" b="0"/>
            <wp:wrapNone/>
            <wp:docPr id="100023" name="图片 100023" descr="@@@1a3c902f-bbbf-4b0f-9966-2ee1f80d59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1a3c902f-bbbf-4b0f-9966-2ee1f80d59fa"/>
                    <pic:cNvPicPr>
                      <a:picLocks noChangeAspect="1"/>
                    </pic:cNvPicPr>
                  </pic:nvPicPr>
                  <pic:blipFill>
                    <a:blip r:embed="rId20"/>
                    <a:stretch>
                      <a:fillRect/>
                    </a:stretch>
                  </pic:blipFill>
                  <pic:spPr>
                    <a:xfrm>
                      <a:off x="0" y="0"/>
                      <a:ext cx="1680210" cy="1727200"/>
                    </a:xfrm>
                    <a:prstGeom prst="rect">
                      <a:avLst/>
                    </a:prstGeom>
                  </pic:spPr>
                </pic:pic>
              </a:graphicData>
            </a:graphic>
          </wp:anchor>
        </w:drawing>
      </w:r>
      <w:r>
        <w:rPr>
          <w:rFonts w:ascii="Times New Roman" w:hAnsi="Times New Roman" w:eastAsia="Times New Roman" w:cs="Times New Roman"/>
          <w:strike w:val="0"/>
          <w:kern w:val="0"/>
          <w:sz w:val="24"/>
          <w:szCs w:val="24"/>
          <w:u w:val="none"/>
        </w:rPr>
        <w:drawing>
          <wp:anchor distT="0" distB="0" distL="114300" distR="114300" simplePos="0" relativeHeight="251663360" behindDoc="0" locked="0" layoutInCell="1" allowOverlap="1">
            <wp:simplePos x="0" y="0"/>
            <wp:positionH relativeFrom="column">
              <wp:posOffset>1964055</wp:posOffset>
            </wp:positionH>
            <wp:positionV relativeFrom="paragraph">
              <wp:posOffset>125730</wp:posOffset>
            </wp:positionV>
            <wp:extent cx="1628775" cy="1703705"/>
            <wp:effectExtent l="0" t="0" r="9525" b="10795"/>
            <wp:wrapNone/>
            <wp:docPr id="100021" name="图片 100021" descr="@@@a9a28c45-8e41-454b-8fdd-baa2a1544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a9a28c45-8e41-454b-8fdd-baa2a1544556"/>
                    <pic:cNvPicPr>
                      <a:picLocks noChangeAspect="1"/>
                    </pic:cNvPicPr>
                  </pic:nvPicPr>
                  <pic:blipFill>
                    <a:blip r:embed="rId21"/>
                    <a:stretch>
                      <a:fillRect/>
                    </a:stretch>
                  </pic:blipFill>
                  <pic:spPr>
                    <a:xfrm>
                      <a:off x="0" y="0"/>
                      <a:ext cx="1628775" cy="1703705"/>
                    </a:xfrm>
                    <a:prstGeom prst="rect">
                      <a:avLst/>
                    </a:prstGeom>
                  </pic:spPr>
                </pic:pic>
              </a:graphicData>
            </a:graphic>
          </wp:anchor>
        </w:drawing>
      </w:r>
    </w:p>
    <w:p w14:paraId="7E96783F">
      <w:pPr>
        <w:shd w:val="clear" w:color="auto" w:fill="auto"/>
        <w:spacing w:line="240" w:lineRule="auto"/>
        <w:jc w:val="left"/>
        <w:textAlignment w:val="center"/>
        <w:rPr>
          <w:sz w:val="21"/>
        </w:rPr>
      </w:pPr>
    </w:p>
    <w:p w14:paraId="744A7AED">
      <w:pPr>
        <w:shd w:val="clear" w:color="auto" w:fill="auto"/>
        <w:spacing w:line="240" w:lineRule="auto"/>
        <w:jc w:val="left"/>
        <w:textAlignment w:val="center"/>
        <w:rPr>
          <w:sz w:val="21"/>
        </w:rPr>
      </w:pPr>
    </w:p>
    <w:p w14:paraId="503E2F2E">
      <w:pPr>
        <w:shd w:val="clear" w:color="auto" w:fill="auto"/>
        <w:spacing w:line="240" w:lineRule="auto"/>
        <w:jc w:val="left"/>
        <w:textAlignment w:val="center"/>
        <w:rPr>
          <w:sz w:val="21"/>
        </w:rPr>
      </w:pPr>
    </w:p>
    <w:p w14:paraId="0E3A0188">
      <w:pPr>
        <w:shd w:val="clear" w:color="auto" w:fill="auto"/>
        <w:spacing w:line="240" w:lineRule="auto"/>
        <w:jc w:val="left"/>
        <w:textAlignment w:val="center"/>
        <w:rPr>
          <w:sz w:val="21"/>
        </w:rPr>
      </w:pPr>
    </w:p>
    <w:p w14:paraId="42E8E523">
      <w:pPr>
        <w:shd w:val="clear" w:color="auto" w:fill="auto"/>
        <w:spacing w:line="240" w:lineRule="auto"/>
        <w:jc w:val="left"/>
        <w:textAlignment w:val="center"/>
        <w:rPr>
          <w:sz w:val="21"/>
        </w:rPr>
      </w:pPr>
    </w:p>
    <w:p w14:paraId="63C8A8A4">
      <w:pPr>
        <w:shd w:val="clear" w:color="auto" w:fill="auto"/>
        <w:spacing w:line="240" w:lineRule="auto"/>
        <w:jc w:val="left"/>
        <w:textAlignment w:val="center"/>
        <w:rPr>
          <w:sz w:val="21"/>
        </w:rPr>
      </w:pPr>
    </w:p>
    <w:p w14:paraId="376F4E21">
      <w:pPr>
        <w:shd w:val="clear" w:color="auto" w:fill="auto"/>
        <w:spacing w:line="240" w:lineRule="auto"/>
        <w:ind w:left="380"/>
        <w:jc w:val="left"/>
        <w:textAlignment w:val="center"/>
        <w:rPr>
          <w:sz w:val="21"/>
        </w:rPr>
      </w:pPr>
      <w:r>
        <w:rPr>
          <w:sz w:val="21"/>
        </w:rPr>
        <w:t>A．20—24 h，野生型胚胎中的大多数细胞处于分裂期</w:t>
      </w:r>
    </w:p>
    <w:p w14:paraId="4EC725F9">
      <w:pPr>
        <w:shd w:val="clear" w:color="auto" w:fill="auto"/>
        <w:spacing w:line="240" w:lineRule="auto"/>
        <w:ind w:left="380"/>
        <w:jc w:val="left"/>
        <w:textAlignment w:val="center"/>
        <w:rPr>
          <w:sz w:val="21"/>
        </w:rPr>
      </w:pPr>
      <w:r>
        <w:rPr>
          <w:sz w:val="21"/>
        </w:rPr>
        <w:t>B．与20 h相比，22 h的突变型胚胎中更多的细胞正在进行DNA复制</w:t>
      </w:r>
    </w:p>
    <w:p w14:paraId="52E56E55">
      <w:pPr>
        <w:shd w:val="clear" w:color="auto" w:fill="auto"/>
        <w:spacing w:line="240" w:lineRule="auto"/>
        <w:ind w:left="380"/>
        <w:jc w:val="left"/>
        <w:textAlignment w:val="center"/>
        <w:rPr>
          <w:sz w:val="21"/>
        </w:rPr>
      </w:pPr>
      <w:r>
        <w:rPr>
          <w:sz w:val="21"/>
        </w:rPr>
        <w:t>C．24 h时，突变型胚胎中某些细胞的DNA可能被相关的DNA酶降解</w:t>
      </w:r>
    </w:p>
    <w:p w14:paraId="6C4CA850">
      <w:pPr>
        <w:shd w:val="clear" w:color="auto" w:fill="auto"/>
        <w:spacing w:line="240" w:lineRule="auto"/>
        <w:ind w:left="380"/>
        <w:jc w:val="left"/>
        <w:textAlignment w:val="center"/>
        <w:rPr>
          <w:sz w:val="21"/>
        </w:rPr>
      </w:pPr>
      <w:r>
        <w:rPr>
          <w:sz w:val="21"/>
        </w:rPr>
        <w:t>D．基因M突变，不能维持细胞的正常增殖，导致突变型胚胎不能正常发育</w:t>
      </w:r>
    </w:p>
    <w:p w14:paraId="4FF687DC">
      <w:pPr>
        <w:shd w:val="clear" w:color="auto" w:fill="auto"/>
        <w:spacing w:line="240" w:lineRule="auto"/>
        <w:jc w:val="left"/>
        <w:textAlignment w:val="center"/>
        <w:rPr>
          <w:sz w:val="21"/>
        </w:rPr>
      </w:pPr>
      <w:r>
        <w:rPr>
          <w:sz w:val="21"/>
        </w:rPr>
        <w:t>17．CD226和TIGIT是表达于T细胞、NK细胞等淋巴细胞表面的分子，可竞争性结合抗原呈递细胞（APC）表面的CD155分子，从而分别活化和抑制相关淋巴细胞，TIGIT与CD155的亲和力高于CD226。研究表明，CD155分子也在多种肿瘤细胞上过量表达，若肿瘤细胞上CD155分子的丢失，则能通过肿瘤内在机制减少肿瘤的生长。下列说法正确的是（</w:t>
      </w:r>
      <w:r>
        <w:rPr>
          <w:rFonts w:ascii="Times New Roman" w:hAnsi="Times New Roman" w:eastAsia="Times New Roman" w:cs="Times New Roman"/>
          <w:kern w:val="0"/>
          <w:sz w:val="24"/>
          <w:szCs w:val="24"/>
        </w:rPr>
        <w:t>    </w:t>
      </w:r>
      <w:r>
        <w:rPr>
          <w:sz w:val="21"/>
        </w:rPr>
        <w:t>）</w:t>
      </w:r>
    </w:p>
    <w:p w14:paraId="5089F4B3">
      <w:pPr>
        <w:shd w:val="clear" w:color="auto" w:fill="auto"/>
        <w:spacing w:line="240" w:lineRule="auto"/>
        <w:ind w:left="380"/>
        <w:jc w:val="left"/>
        <w:textAlignment w:val="center"/>
        <w:rPr>
          <w:sz w:val="21"/>
        </w:rPr>
      </w:pPr>
      <w:r>
        <w:rPr>
          <w:sz w:val="21"/>
        </w:rPr>
        <w:t>A．APC包括树突状细胞、巨噬细胞和B细胞等，可以特异性摄取、加工处理抗原</w:t>
      </w:r>
    </w:p>
    <w:p w14:paraId="2C0E0CA2">
      <w:pPr>
        <w:shd w:val="clear" w:color="auto" w:fill="auto"/>
        <w:spacing w:line="240" w:lineRule="auto"/>
        <w:ind w:left="380"/>
        <w:jc w:val="left"/>
        <w:textAlignment w:val="center"/>
        <w:rPr>
          <w:sz w:val="21"/>
        </w:rPr>
      </w:pPr>
      <w:r>
        <w:rPr>
          <w:sz w:val="21"/>
        </w:rPr>
        <w:t>B．正常情况下，TIGIT发挥作用有利于防止机体自身免疫病的发生</w:t>
      </w:r>
    </w:p>
    <w:p w14:paraId="6AFF4C9E">
      <w:pPr>
        <w:shd w:val="clear" w:color="auto" w:fill="auto"/>
        <w:spacing w:line="240" w:lineRule="auto"/>
        <w:ind w:left="380"/>
        <w:jc w:val="left"/>
        <w:textAlignment w:val="center"/>
        <w:rPr>
          <w:sz w:val="21"/>
        </w:rPr>
      </w:pPr>
      <w:r>
        <w:rPr>
          <w:sz w:val="21"/>
        </w:rPr>
        <w:t>C．CD155分子在肿瘤细胞中的过量表达既有促进肿瘤生长的作用，又有帮助肿瘤细胞逃避免疫自稳的作用</w:t>
      </w:r>
    </w:p>
    <w:p w14:paraId="75A86F62">
      <w:pPr>
        <w:shd w:val="clear" w:color="auto" w:fill="auto"/>
        <w:spacing w:line="240" w:lineRule="auto"/>
        <w:ind w:left="380"/>
        <w:jc w:val="left"/>
        <w:textAlignment w:val="center"/>
        <w:rPr>
          <w:sz w:val="21"/>
        </w:rPr>
      </w:pPr>
      <w:r>
        <w:rPr>
          <w:sz w:val="21"/>
        </w:rPr>
        <w:t>D．增强CD226的表达及研发使用TIGIT单克隆抗体，均可为肿瘤治疗提供新的思路</w:t>
      </w:r>
    </w:p>
    <w:p w14:paraId="5C120DFD">
      <w:pPr>
        <w:shd w:val="clear" w:color="auto" w:fill="auto"/>
        <w:spacing w:line="240" w:lineRule="auto"/>
        <w:jc w:val="left"/>
        <w:textAlignment w:val="center"/>
        <w:rPr>
          <w:sz w:val="21"/>
        </w:rPr>
      </w:pPr>
      <w:r>
        <w:rPr>
          <w:sz w:val="21"/>
        </w:rPr>
        <w:t>18．基因工程在农牧业、医药卫生和食品工业等多方面的应用发展迅速，如图表示利用基因工程技术生产人血清白蛋白的两条途径。下列叙述错误的是（</w:t>
      </w:r>
      <w:r>
        <w:rPr>
          <w:rFonts w:ascii="Times New Roman" w:hAnsi="Times New Roman" w:eastAsia="Times New Roman" w:cs="Times New Roman"/>
          <w:kern w:val="0"/>
          <w:sz w:val="24"/>
          <w:szCs w:val="24"/>
        </w:rPr>
        <w:t>    </w:t>
      </w:r>
      <w:r>
        <w:rPr>
          <w:sz w:val="21"/>
        </w:rPr>
        <w:t>）</w:t>
      </w:r>
    </w:p>
    <w:p w14:paraId="1181C596">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inline distT="0" distB="0" distL="114300" distR="114300">
            <wp:extent cx="4850765" cy="1223645"/>
            <wp:effectExtent l="0" t="0" r="635" b="8255"/>
            <wp:docPr id="100025" name="图片 100025" descr="@@@3bc9472b-ee87-4a18-ae34-9eb364e74c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3bc9472b-ee87-4a18-ae34-9eb364e74cb4"/>
                    <pic:cNvPicPr>
                      <a:picLocks noChangeAspect="1"/>
                    </pic:cNvPicPr>
                  </pic:nvPicPr>
                  <pic:blipFill>
                    <a:blip r:embed="rId22"/>
                    <a:stretch>
                      <a:fillRect/>
                    </a:stretch>
                  </pic:blipFill>
                  <pic:spPr>
                    <a:xfrm>
                      <a:off x="0" y="0"/>
                      <a:ext cx="4850765" cy="1223645"/>
                    </a:xfrm>
                    <a:prstGeom prst="rect">
                      <a:avLst/>
                    </a:prstGeom>
                  </pic:spPr>
                </pic:pic>
              </a:graphicData>
            </a:graphic>
          </wp:inline>
        </w:drawing>
      </w:r>
    </w:p>
    <w:p w14:paraId="42587DD1">
      <w:pPr>
        <w:shd w:val="clear" w:color="auto" w:fill="auto"/>
        <w:spacing w:line="240" w:lineRule="auto"/>
        <w:ind w:left="378" w:leftChars="0" w:hanging="378" w:hangingChars="180"/>
        <w:jc w:val="left"/>
        <w:textAlignment w:val="center"/>
        <w:rPr>
          <w:sz w:val="21"/>
        </w:rPr>
      </w:pPr>
      <w:r>
        <w:rPr>
          <w:sz w:val="21"/>
        </w:rPr>
        <w:t>A．若某基因是从人的细胞内提取 mRNA 经逆转录形成的，则该基因中不含启动子序列</w:t>
      </w:r>
    </w:p>
    <w:p w14:paraId="02911DAB">
      <w:pPr>
        <w:shd w:val="clear" w:color="auto" w:fill="auto"/>
        <w:spacing w:line="240" w:lineRule="auto"/>
        <w:ind w:left="378" w:leftChars="0" w:hanging="378" w:hangingChars="180"/>
        <w:jc w:val="left"/>
        <w:textAlignment w:val="center"/>
        <w:rPr>
          <w:sz w:val="21"/>
        </w:rPr>
      </w:pPr>
      <w:r>
        <w:rPr>
          <w:sz w:val="21"/>
        </w:rPr>
        <w:t>B．扩增目的基因时，利用耐高温的DNA连接酶从引物a、b的3'-端进行子链合成</w:t>
      </w:r>
    </w:p>
    <w:p w14:paraId="38E7AC29">
      <w:pPr>
        <w:shd w:val="clear" w:color="auto" w:fill="auto"/>
        <w:spacing w:line="240" w:lineRule="auto"/>
        <w:ind w:left="378" w:leftChars="0" w:hanging="378" w:hangingChars="180"/>
        <w:jc w:val="left"/>
        <w:textAlignment w:val="center"/>
        <w:rPr>
          <w:sz w:val="21"/>
        </w:rPr>
      </w:pPr>
      <w:r>
        <w:rPr>
          <w:sz w:val="21"/>
        </w:rPr>
        <w:t>C．导入人血清白蛋白基因的绵羊受体细胞是乳腺细胞</w:t>
      </w:r>
    </w:p>
    <w:p w14:paraId="256250C8">
      <w:pPr>
        <w:shd w:val="clear" w:color="auto" w:fill="auto"/>
        <w:spacing w:line="240" w:lineRule="auto"/>
        <w:ind w:left="0" w:leftChars="0" w:firstLine="0" w:firstLineChars="0"/>
        <w:jc w:val="left"/>
        <w:textAlignment w:val="center"/>
        <w:rPr>
          <w:sz w:val="21"/>
        </w:rPr>
      </w:pPr>
      <w:r>
        <w:rPr>
          <w:sz w:val="21"/>
        </w:rPr>
        <w:t>D．利用农杆菌转化法可将含有目的基因的重组质粒整合到植物受体细胞的染色体DNA上</w:t>
      </w:r>
    </w:p>
    <w:p w14:paraId="36DF9280">
      <w:pPr>
        <w:spacing w:line="240" w:lineRule="auto"/>
        <w:jc w:val="left"/>
        <w:textAlignment w:val="center"/>
        <w:rPr>
          <w:rFonts w:ascii="宋体" w:hAnsi="宋体" w:eastAsia="宋体" w:cs="宋体"/>
          <w:b/>
          <w:i w:val="0"/>
          <w:color w:val="000000"/>
          <w:sz w:val="21"/>
        </w:rPr>
      </w:pPr>
      <w:r>
        <w:rPr>
          <w:rFonts w:ascii="宋体" w:hAnsi="宋体" w:eastAsia="宋体" w:cs="宋体"/>
          <w:b/>
          <w:i w:val="0"/>
          <w:color w:val="000000"/>
          <w:sz w:val="21"/>
        </w:rPr>
        <w:t>三、解答题</w:t>
      </w:r>
    </w:p>
    <w:p w14:paraId="61A474A4">
      <w:pPr>
        <w:shd w:val="clear" w:color="auto" w:fill="auto"/>
        <w:spacing w:line="240" w:lineRule="auto"/>
        <w:jc w:val="left"/>
        <w:textAlignment w:val="center"/>
        <w:rPr>
          <w:sz w:val="21"/>
        </w:rPr>
      </w:pPr>
      <w:r>
        <w:rPr>
          <w:sz w:val="21"/>
        </w:rPr>
        <w:t>19．植物光合作用的场所是叶绿体，其光合速率受多种外界因素的影响。</w:t>
      </w:r>
    </w:p>
    <w:p w14:paraId="3C9A56F6">
      <w:pPr>
        <w:shd w:val="clear" w:color="auto" w:fill="auto"/>
        <w:spacing w:line="240" w:lineRule="auto"/>
        <w:jc w:val="left"/>
        <w:textAlignment w:val="center"/>
        <w:rPr>
          <w:sz w:val="21"/>
        </w:rPr>
      </w:pPr>
      <w:r>
        <w:rPr>
          <w:sz w:val="21"/>
        </w:rPr>
        <w:t>(1)叶绿体中催化CO</w:t>
      </w:r>
      <w:r>
        <w:rPr>
          <w:sz w:val="21"/>
          <w:vertAlign w:val="subscript"/>
        </w:rPr>
        <w:t>2</w:t>
      </w:r>
      <w:r>
        <w:rPr>
          <w:sz w:val="21"/>
        </w:rPr>
        <w:t>固定的酶R由叶绿体DNA编码的大亚基和细胞核DNA编码的小亚基共同组装而成，其合成过程及部分代谢途径如图1所示。</w:t>
      </w:r>
    </w:p>
    <w:p w14:paraId="71D1FE2B">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anchor distT="0" distB="0" distL="114300" distR="114300" simplePos="0" relativeHeight="251665408" behindDoc="0" locked="0" layoutInCell="1" allowOverlap="1">
            <wp:simplePos x="0" y="0"/>
            <wp:positionH relativeFrom="column">
              <wp:posOffset>2779395</wp:posOffset>
            </wp:positionH>
            <wp:positionV relativeFrom="paragraph">
              <wp:posOffset>24765</wp:posOffset>
            </wp:positionV>
            <wp:extent cx="2562225" cy="1776730"/>
            <wp:effectExtent l="0" t="0" r="3175" b="1270"/>
            <wp:wrapNone/>
            <wp:docPr id="100029" name="图片 100029" descr="@@@857f7183-bcab-4734-9b83-4c9310382a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857f7183-bcab-4734-9b83-4c9310382a3a"/>
                    <pic:cNvPicPr>
                      <a:picLocks noChangeAspect="1"/>
                    </pic:cNvPicPr>
                  </pic:nvPicPr>
                  <pic:blipFill>
                    <a:blip r:embed="rId23"/>
                    <a:stretch>
                      <a:fillRect/>
                    </a:stretch>
                  </pic:blipFill>
                  <pic:spPr>
                    <a:xfrm>
                      <a:off x="0" y="0"/>
                      <a:ext cx="2562225" cy="1776730"/>
                    </a:xfrm>
                    <a:prstGeom prst="rect">
                      <a:avLst/>
                    </a:prstGeom>
                  </pic:spPr>
                </pic:pic>
              </a:graphicData>
            </a:graphic>
          </wp:anchor>
        </w:drawing>
      </w:r>
      <w:r>
        <w:rPr>
          <w:rFonts w:ascii="Times New Roman" w:hAnsi="Times New Roman" w:eastAsia="Times New Roman" w:cs="Times New Roman"/>
          <w:strike w:val="0"/>
          <w:kern w:val="0"/>
          <w:sz w:val="24"/>
          <w:szCs w:val="24"/>
          <w:u w:val="none"/>
        </w:rPr>
        <w:drawing>
          <wp:inline distT="0" distB="0" distL="114300" distR="114300">
            <wp:extent cx="2651125" cy="1752600"/>
            <wp:effectExtent l="0" t="0" r="3175" b="0"/>
            <wp:docPr id="100027" name="图片 100027" descr="@@@a0a0b4e0-9d13-4bcd-92a2-9252ed8be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a0a0b4e0-9d13-4bcd-92a2-9252ed8be441"/>
                    <pic:cNvPicPr>
                      <a:picLocks noChangeAspect="1"/>
                    </pic:cNvPicPr>
                  </pic:nvPicPr>
                  <pic:blipFill>
                    <a:blip r:embed="rId24"/>
                    <a:stretch>
                      <a:fillRect/>
                    </a:stretch>
                  </pic:blipFill>
                  <pic:spPr>
                    <a:xfrm>
                      <a:off x="0" y="0"/>
                      <a:ext cx="2651125" cy="1752600"/>
                    </a:xfrm>
                    <a:prstGeom prst="rect">
                      <a:avLst/>
                    </a:prstGeom>
                  </pic:spPr>
                </pic:pic>
              </a:graphicData>
            </a:graphic>
          </wp:inline>
        </w:drawing>
      </w:r>
    </w:p>
    <w:p w14:paraId="710FB9B0">
      <w:pPr>
        <w:shd w:val="clear" w:color="auto" w:fill="auto"/>
        <w:spacing w:line="240" w:lineRule="auto"/>
        <w:jc w:val="center"/>
        <w:textAlignment w:val="center"/>
        <w:rPr>
          <w:sz w:val="21"/>
        </w:rPr>
      </w:pPr>
      <w:r>
        <w:rPr>
          <w:sz w:val="21"/>
        </w:rPr>
        <w:t>图1</w:t>
      </w:r>
      <w:r>
        <w:rPr>
          <w:rFonts w:hint="eastAsia"/>
          <w:sz w:val="21"/>
          <w:lang w:val="en-US" w:eastAsia="zh-CN"/>
        </w:rPr>
        <w:t xml:space="preserve">                                     </w:t>
      </w:r>
      <w:r>
        <w:rPr>
          <w:sz w:val="21"/>
        </w:rPr>
        <w:t>图2</w:t>
      </w:r>
    </w:p>
    <w:p w14:paraId="115786EA">
      <w:pPr>
        <w:shd w:val="clear" w:color="auto" w:fill="auto"/>
        <w:spacing w:line="240" w:lineRule="auto"/>
        <w:jc w:val="left"/>
        <w:textAlignment w:val="center"/>
        <w:rPr>
          <w:sz w:val="21"/>
        </w:rPr>
      </w:pPr>
      <w:r>
        <w:rPr>
          <w:sz w:val="21"/>
        </w:rPr>
        <w:t>①酶R小亚基在</w:t>
      </w:r>
      <w:r>
        <w:rPr>
          <w:rFonts w:ascii="Times New Roman" w:hAnsi="Times New Roman" w:eastAsia="Times New Roman" w:cs="Times New Roman"/>
          <w:b w:val="0"/>
          <w:sz w:val="21"/>
        </w:rPr>
        <w:t>______</w:t>
      </w:r>
      <w:r>
        <w:rPr>
          <w:sz w:val="21"/>
        </w:rPr>
        <w:t>中的核糖体合成后进入叶绿体，在叶绿体的</w:t>
      </w:r>
      <w:r>
        <w:rPr>
          <w:rFonts w:ascii="Times New Roman" w:hAnsi="Times New Roman" w:eastAsia="Times New Roman" w:cs="Times New Roman"/>
          <w:b w:val="0"/>
          <w:sz w:val="21"/>
        </w:rPr>
        <w:t>______</w:t>
      </w:r>
      <w:r>
        <w:rPr>
          <w:sz w:val="21"/>
        </w:rPr>
        <w:t>中与酶R大亚基组装成有功能的酶。</w:t>
      </w:r>
    </w:p>
    <w:p w14:paraId="50941950">
      <w:pPr>
        <w:shd w:val="clear" w:color="auto" w:fill="auto"/>
        <w:spacing w:line="240" w:lineRule="auto"/>
        <w:jc w:val="left"/>
        <w:textAlignment w:val="center"/>
        <w:rPr>
          <w:sz w:val="21"/>
        </w:rPr>
      </w:pPr>
      <w:r>
        <w:rPr>
          <w:sz w:val="21"/>
        </w:rPr>
        <w:t>②进行光合作用时，酶R需ATP参与激活，光能转化为ATP中的化学能是在</w:t>
      </w:r>
      <w:r>
        <w:rPr>
          <w:rFonts w:ascii="Times New Roman" w:hAnsi="Times New Roman" w:eastAsia="Times New Roman" w:cs="Times New Roman"/>
          <w:b w:val="0"/>
          <w:sz w:val="21"/>
        </w:rPr>
        <w:t>______</w:t>
      </w:r>
      <w:r>
        <w:rPr>
          <w:sz w:val="21"/>
        </w:rPr>
        <w:t>（填场所）上完成的。活化的酶R催化</w:t>
      </w:r>
      <w:r>
        <w:rPr>
          <w:rFonts w:ascii="Times New Roman" w:hAnsi="Times New Roman" w:eastAsia="Times New Roman" w:cs="Times New Roman"/>
          <w:b w:val="0"/>
          <w:sz w:val="21"/>
        </w:rPr>
        <w:t>______</w:t>
      </w:r>
      <w:r>
        <w:rPr>
          <w:sz w:val="21"/>
        </w:rPr>
        <w:t>产生C</w:t>
      </w:r>
      <w:r>
        <w:rPr>
          <w:sz w:val="21"/>
          <w:vertAlign w:val="subscript"/>
        </w:rPr>
        <w:t>3</w:t>
      </w:r>
      <w:r>
        <w:rPr>
          <w:sz w:val="21"/>
        </w:rPr>
        <w:t>，C</w:t>
      </w:r>
      <w:r>
        <w:rPr>
          <w:sz w:val="21"/>
          <w:vertAlign w:val="subscript"/>
        </w:rPr>
        <w:t>3</w:t>
      </w:r>
      <w:r>
        <w:rPr>
          <w:sz w:val="21"/>
        </w:rPr>
        <w:t>还需被</w:t>
      </w:r>
      <w:r>
        <w:rPr>
          <w:rFonts w:ascii="Times New Roman" w:hAnsi="Times New Roman" w:eastAsia="Times New Roman" w:cs="Times New Roman"/>
          <w:b w:val="0"/>
          <w:sz w:val="21"/>
        </w:rPr>
        <w:t>______</w:t>
      </w:r>
      <w:r>
        <w:rPr>
          <w:sz w:val="21"/>
        </w:rPr>
        <w:t>还原，被还原的C</w:t>
      </w:r>
      <w:r>
        <w:rPr>
          <w:sz w:val="21"/>
          <w:vertAlign w:val="subscript"/>
        </w:rPr>
        <w:t>3</w:t>
      </w:r>
      <w:r>
        <w:rPr>
          <w:sz w:val="21"/>
        </w:rPr>
        <w:t>一部分进一步合成糖类，另一部分合成X，X为</w:t>
      </w:r>
      <w:r>
        <w:rPr>
          <w:rFonts w:ascii="Times New Roman" w:hAnsi="Times New Roman" w:eastAsia="Times New Roman" w:cs="Times New Roman"/>
          <w:b w:val="0"/>
          <w:sz w:val="21"/>
        </w:rPr>
        <w:t>______</w:t>
      </w:r>
      <w:r>
        <w:rPr>
          <w:sz w:val="21"/>
        </w:rPr>
        <w:t>。在叶绿体中，糖类主要以淀粉形式储存，光合作用旺盛时，若植物合成的糖类以可溶性糖形式储存在叶绿体中，则可能导致叶绿体</w:t>
      </w:r>
      <w:r>
        <w:rPr>
          <w:rFonts w:ascii="Times New Roman" w:hAnsi="Times New Roman" w:eastAsia="Times New Roman" w:cs="Times New Roman"/>
          <w:b w:val="0"/>
          <w:sz w:val="21"/>
        </w:rPr>
        <w:t>______</w:t>
      </w:r>
      <w:r>
        <w:rPr>
          <w:sz w:val="21"/>
        </w:rPr>
        <w:t>。</w:t>
      </w:r>
    </w:p>
    <w:p w14:paraId="52FF03BA">
      <w:pPr>
        <w:shd w:val="clear" w:color="auto" w:fill="auto"/>
        <w:spacing w:line="240" w:lineRule="auto"/>
        <w:jc w:val="left"/>
        <w:textAlignment w:val="center"/>
        <w:rPr>
          <w:sz w:val="21"/>
        </w:rPr>
      </w:pPr>
      <w:r>
        <w:rPr>
          <w:sz w:val="21"/>
        </w:rPr>
        <w:t>(2)科研人员以甜瓜为对象，研究温度和CO</w:t>
      </w:r>
      <w:r>
        <w:rPr>
          <w:sz w:val="21"/>
          <w:vertAlign w:val="subscript"/>
        </w:rPr>
        <w:t>2</w:t>
      </w:r>
      <w:r>
        <w:rPr>
          <w:sz w:val="21"/>
        </w:rPr>
        <w:t>浓度对甜瓜净光合速率（即光合作用合成有机物的速率减去呼吸作用消耗有机物的速率）的影响，结果如图2。</w:t>
      </w:r>
    </w:p>
    <w:p w14:paraId="7BE5C599">
      <w:pPr>
        <w:shd w:val="clear" w:color="auto" w:fill="auto"/>
        <w:spacing w:line="240" w:lineRule="auto"/>
        <w:jc w:val="left"/>
        <w:textAlignment w:val="center"/>
        <w:rPr>
          <w:sz w:val="21"/>
        </w:rPr>
      </w:pPr>
      <w:r>
        <w:rPr>
          <w:sz w:val="21"/>
        </w:rPr>
        <w:t>①据2图分析，甜瓜净光合速率并不与环境温度始终正相关，得出此结论的依据是</w:t>
      </w:r>
      <w:r>
        <w:rPr>
          <w:rFonts w:ascii="Times New Roman" w:hAnsi="Times New Roman" w:eastAsia="Times New Roman" w:cs="Times New Roman"/>
          <w:b w:val="0"/>
          <w:sz w:val="21"/>
        </w:rPr>
        <w:t>______</w:t>
      </w:r>
      <w:r>
        <w:rPr>
          <w:sz w:val="21"/>
        </w:rPr>
        <w:t>。</w:t>
      </w:r>
    </w:p>
    <w:p w14:paraId="2A657485">
      <w:pPr>
        <w:shd w:val="clear" w:color="auto" w:fill="auto"/>
        <w:spacing w:line="240" w:lineRule="auto"/>
        <w:jc w:val="left"/>
        <w:textAlignment w:val="center"/>
        <w:rPr>
          <w:sz w:val="21"/>
        </w:rPr>
      </w:pPr>
      <w:r>
        <w:rPr>
          <w:sz w:val="21"/>
        </w:rPr>
        <w:t>②在一般情况下光合作用酶的最适温度比呼吸作用酶低。结合图中信息分析26°C，CO</w:t>
      </w:r>
      <w:r>
        <w:rPr>
          <w:sz w:val="21"/>
          <w:vertAlign w:val="subscript"/>
        </w:rPr>
        <w:t>2</w:t>
      </w:r>
      <w:r>
        <w:rPr>
          <w:sz w:val="21"/>
        </w:rPr>
        <w:t>浓度为1.2～1.6mL/L时，净光合速率显著上升的原因是</w:t>
      </w:r>
      <w:r>
        <w:rPr>
          <w:rFonts w:ascii="Times New Roman" w:hAnsi="Times New Roman" w:eastAsia="Times New Roman" w:cs="Times New Roman"/>
          <w:b w:val="0"/>
          <w:sz w:val="21"/>
        </w:rPr>
        <w:t>______</w:t>
      </w:r>
      <w:r>
        <w:rPr>
          <w:sz w:val="21"/>
        </w:rPr>
        <w:t>。</w:t>
      </w:r>
    </w:p>
    <w:p w14:paraId="7B3F0A1F">
      <w:pPr>
        <w:shd w:val="clear" w:color="auto" w:fill="auto"/>
        <w:spacing w:line="240" w:lineRule="auto"/>
        <w:jc w:val="left"/>
        <w:textAlignment w:val="center"/>
        <w:rPr>
          <w:sz w:val="21"/>
        </w:rPr>
      </w:pPr>
      <w:r>
        <w:rPr>
          <w:sz w:val="21"/>
        </w:rPr>
        <w:t>20．马铃薯野生种是二倍体，既可以用种子繁殖，也可以用块茎繁殖，普通栽培种为突变种中的四倍体。请回答下列问题：</w:t>
      </w:r>
    </w:p>
    <w:p w14:paraId="083AA81D">
      <w:pPr>
        <w:shd w:val="clear" w:color="auto" w:fill="auto"/>
        <w:spacing w:line="240" w:lineRule="auto"/>
        <w:jc w:val="left"/>
        <w:textAlignment w:val="center"/>
        <w:rPr>
          <w:sz w:val="21"/>
        </w:rPr>
      </w:pPr>
      <w:r>
        <w:rPr>
          <w:sz w:val="21"/>
        </w:rPr>
        <w:t>(1)四倍体马铃薯减数分裂时同源染色体会出现多种联会方式，如“3+1”、“2+2”、“2+1+1”等，易出现结实率低的现象，原因是</w:t>
      </w:r>
      <w:r>
        <w:rPr>
          <w:rFonts w:ascii="Times New Roman" w:hAnsi="Times New Roman" w:eastAsia="Times New Roman" w:cs="Times New Roman"/>
          <w:b w:val="0"/>
          <w:sz w:val="21"/>
        </w:rPr>
        <w:t>________</w:t>
      </w:r>
      <w:r>
        <w:rPr>
          <w:sz w:val="21"/>
        </w:rPr>
        <w:t>。</w:t>
      </w:r>
    </w:p>
    <w:p w14:paraId="725D7570">
      <w:pPr>
        <w:shd w:val="clear" w:color="auto" w:fill="auto"/>
        <w:spacing w:line="240" w:lineRule="auto"/>
        <w:jc w:val="left"/>
        <w:textAlignment w:val="center"/>
        <w:rPr>
          <w:sz w:val="21"/>
        </w:rPr>
      </w:pPr>
      <w:r>
        <w:rPr>
          <w:sz w:val="21"/>
        </w:rPr>
        <w:t>(2)为获得杂种优势进行杂交育种，应纯化父本和母本后使其杂交，获得表现一致的杂交种。</w:t>
      </w:r>
    </w:p>
    <w:p w14:paraId="23128859">
      <w:pPr>
        <w:shd w:val="clear" w:color="auto" w:fill="auto"/>
        <w:spacing w:line="240" w:lineRule="auto"/>
        <w:jc w:val="left"/>
        <w:textAlignment w:val="center"/>
        <w:rPr>
          <w:sz w:val="21"/>
        </w:rPr>
      </w:pPr>
      <w:r>
        <w:rPr>
          <w:sz w:val="21"/>
        </w:rPr>
        <w:t>①和野生种相比，四倍体栽培种由于</w:t>
      </w:r>
      <w:r>
        <w:rPr>
          <w:rFonts w:ascii="Times New Roman" w:hAnsi="Times New Roman" w:eastAsia="Times New Roman" w:cs="Times New Roman"/>
          <w:b w:val="0"/>
          <w:sz w:val="21"/>
        </w:rPr>
        <w:t>________</w:t>
      </w:r>
      <w:r>
        <w:rPr>
          <w:sz w:val="21"/>
        </w:rPr>
        <w:t>，杂交育种难度几何性提升。</w:t>
      </w:r>
    </w:p>
    <w:p w14:paraId="0DB56B1B">
      <w:pPr>
        <w:shd w:val="clear" w:color="auto" w:fill="auto"/>
        <w:spacing w:line="240" w:lineRule="auto"/>
        <w:jc w:val="left"/>
        <w:textAlignment w:val="center"/>
        <w:rPr>
          <w:sz w:val="21"/>
        </w:rPr>
      </w:pPr>
      <w:r>
        <w:rPr>
          <w:sz w:val="21"/>
        </w:rPr>
        <w:t>②自交不亲和是植物在长期进化中形成的维持</w:t>
      </w:r>
      <w:r>
        <w:rPr>
          <w:rFonts w:ascii="Times New Roman" w:hAnsi="Times New Roman" w:eastAsia="Times New Roman" w:cs="Times New Roman"/>
          <w:b w:val="0"/>
          <w:sz w:val="21"/>
        </w:rPr>
        <w:t>________</w:t>
      </w:r>
      <w:r>
        <w:rPr>
          <w:sz w:val="21"/>
        </w:rPr>
        <w:t>多样性的一种策略。研究表明，野生种自花传粉时花粉管会在雌蕊花柱中部停止生长。花柱中的S-RNase蛋白和花粉中的SLF蛋白调控了该过程。S-RNase是一种毒性蛋白，过多会引起花粉管生长停滞，特定的S-RNase能被SLF识别并降解。推测SLF</w:t>
      </w:r>
      <w:r>
        <w:rPr>
          <w:rFonts w:ascii="Times New Roman" w:hAnsi="Times New Roman" w:eastAsia="Times New Roman" w:cs="Times New Roman"/>
          <w:b w:val="0"/>
          <w:sz w:val="21"/>
        </w:rPr>
        <w:t>________</w:t>
      </w:r>
      <w:r>
        <w:rPr>
          <w:sz w:val="21"/>
        </w:rPr>
        <w:t>（选填“能”或“不能”）识别并降解同一植株的S-RNase。由于自交不亲和的特性，野生种无法获得</w:t>
      </w:r>
      <w:r>
        <w:rPr>
          <w:rFonts w:ascii="Times New Roman" w:hAnsi="Times New Roman" w:eastAsia="Times New Roman" w:cs="Times New Roman"/>
          <w:b w:val="0"/>
          <w:sz w:val="21"/>
        </w:rPr>
        <w:t>________</w:t>
      </w:r>
      <w:r>
        <w:rPr>
          <w:sz w:val="21"/>
        </w:rPr>
        <w:t>，限制了野生种杂交育种进程。</w:t>
      </w:r>
    </w:p>
    <w:p w14:paraId="7EE2958F">
      <w:pPr>
        <w:shd w:val="clear" w:color="auto" w:fill="auto"/>
        <w:spacing w:line="240" w:lineRule="auto"/>
        <w:jc w:val="left"/>
        <w:textAlignment w:val="center"/>
        <w:rPr>
          <w:sz w:val="21"/>
        </w:rPr>
      </w:pPr>
      <w:r>
        <w:rPr>
          <w:sz w:val="21"/>
        </w:rPr>
        <w:t>(3)中国农业科学院黄三文团队发现一株自交亲和的二倍体马铃薯杂合植株，并确定该性状受显性基因A控制，A蛋白可广泛识别并降解多种类型的S-RNase。该杂合植株的自交后代只出现两种基因型：AA和Aa，且比例接近1：1。结合上述野生种自交不亲和机理，推测出现该现象的原因是</w:t>
      </w:r>
      <w:r>
        <w:rPr>
          <w:rFonts w:ascii="Times New Roman" w:hAnsi="Times New Roman" w:eastAsia="Times New Roman" w:cs="Times New Roman"/>
          <w:b w:val="0"/>
          <w:sz w:val="21"/>
        </w:rPr>
        <w:t>________</w:t>
      </w:r>
      <w:r>
        <w:rPr>
          <w:sz w:val="21"/>
        </w:rPr>
        <w:t>。</w:t>
      </w:r>
    </w:p>
    <w:p w14:paraId="16BD05EE">
      <w:pPr>
        <w:shd w:val="clear" w:color="auto" w:fill="auto"/>
        <w:spacing w:line="240" w:lineRule="auto"/>
        <w:jc w:val="left"/>
        <w:textAlignment w:val="center"/>
        <w:rPr>
          <w:sz w:val="21"/>
        </w:rPr>
      </w:pPr>
      <w:r>
        <w:rPr>
          <w:sz w:val="21"/>
        </w:rPr>
        <w:t>(4)为短期内获得高比例的野生种自交亲和纯合子，可采用单倍体育种。</w:t>
      </w:r>
    </w:p>
    <w:p w14:paraId="0A02AD8B">
      <w:pPr>
        <w:shd w:val="clear" w:color="auto" w:fill="auto"/>
        <w:spacing w:line="240" w:lineRule="auto"/>
        <w:jc w:val="left"/>
        <w:textAlignment w:val="center"/>
        <w:rPr>
          <w:sz w:val="21"/>
        </w:rPr>
      </w:pPr>
      <w:r>
        <w:rPr>
          <w:sz w:val="21"/>
        </w:rPr>
        <w:t>①研究者获得突变体S，用S给普通二倍体马铃薯授粉，会结出一定比例的单倍体籽粒（胚是单倍体；胚乳与二倍体籽粒的胚乳相同，是含有一整套精子染色体的三倍体）。根据亲本中某基因的差异，对亲子代该基因PCR扩增，结果如图所示，确定F</w:t>
      </w:r>
      <w:r>
        <w:rPr>
          <w:sz w:val="21"/>
          <w:vertAlign w:val="subscript"/>
        </w:rPr>
        <w:t>1</w:t>
      </w:r>
      <w:r>
        <w:rPr>
          <w:sz w:val="21"/>
        </w:rPr>
        <w:t>单倍体胚和F</w:t>
      </w:r>
      <w:r>
        <w:rPr>
          <w:sz w:val="21"/>
          <w:vertAlign w:val="subscript"/>
        </w:rPr>
        <w:t>1</w:t>
      </w:r>
      <w:r>
        <w:rPr>
          <w:sz w:val="21"/>
        </w:rPr>
        <w:t>二倍体胚分别对应电泳图中的数字</w:t>
      </w:r>
      <w:r>
        <w:rPr>
          <w:rFonts w:ascii="Times New Roman" w:hAnsi="Times New Roman" w:eastAsia="Times New Roman" w:cs="Times New Roman"/>
          <w:b w:val="0"/>
          <w:sz w:val="21"/>
        </w:rPr>
        <w:t>________</w:t>
      </w:r>
      <w:r>
        <w:rPr>
          <w:sz w:val="21"/>
        </w:rPr>
        <w:t>，且F</w:t>
      </w:r>
      <w:r>
        <w:rPr>
          <w:sz w:val="21"/>
          <w:vertAlign w:val="subscript"/>
        </w:rPr>
        <w:t>1</w:t>
      </w:r>
      <w:r>
        <w:rPr>
          <w:sz w:val="21"/>
        </w:rPr>
        <w:t>单倍体胚是由</w:t>
      </w:r>
      <w:r>
        <w:rPr>
          <w:rFonts w:ascii="Times New Roman" w:hAnsi="Times New Roman" w:eastAsia="Times New Roman" w:cs="Times New Roman"/>
          <w:b w:val="0"/>
          <w:sz w:val="21"/>
        </w:rPr>
        <w:t>________</w:t>
      </w:r>
      <w:r>
        <w:rPr>
          <w:sz w:val="21"/>
        </w:rPr>
        <w:t>发育而来。</w:t>
      </w:r>
    </w:p>
    <w:p w14:paraId="0EA6A222">
      <w:pPr>
        <w:shd w:val="clear" w:color="auto" w:fill="auto"/>
        <w:spacing w:line="240" w:lineRule="auto"/>
        <w:jc w:val="center"/>
        <w:textAlignment w:val="center"/>
        <w:rPr>
          <w:sz w:val="21"/>
        </w:rPr>
      </w:pPr>
      <w:r>
        <w:rPr>
          <w:rFonts w:ascii="Times New Roman" w:hAnsi="Times New Roman" w:eastAsia="Times New Roman" w:cs="Times New Roman"/>
          <w:strike w:val="0"/>
          <w:kern w:val="0"/>
          <w:sz w:val="24"/>
          <w:szCs w:val="24"/>
          <w:u w:val="none"/>
        </w:rPr>
        <w:drawing>
          <wp:inline distT="0" distB="0" distL="114300" distR="114300">
            <wp:extent cx="3514725" cy="762000"/>
            <wp:effectExtent l="0" t="0" r="3175" b="0"/>
            <wp:docPr id="100031" name="图片 100031" descr="@@@a709c77d207444fda9771c17f57d7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a709c77d207444fda9771c17f57d7e30"/>
                    <pic:cNvPicPr>
                      <a:picLocks noChangeAspect="1"/>
                    </pic:cNvPicPr>
                  </pic:nvPicPr>
                  <pic:blipFill>
                    <a:blip r:embed="rId25"/>
                    <a:stretch>
                      <a:fillRect/>
                    </a:stretch>
                  </pic:blipFill>
                  <pic:spPr>
                    <a:xfrm>
                      <a:off x="0" y="0"/>
                      <a:ext cx="3514725" cy="762000"/>
                    </a:xfrm>
                    <a:prstGeom prst="rect">
                      <a:avLst/>
                    </a:prstGeom>
                  </pic:spPr>
                </pic:pic>
              </a:graphicData>
            </a:graphic>
          </wp:inline>
        </w:drawing>
      </w:r>
    </w:p>
    <w:p w14:paraId="6488046C">
      <w:pPr>
        <w:shd w:val="clear" w:color="auto" w:fill="auto"/>
        <w:spacing w:line="240" w:lineRule="auto"/>
        <w:jc w:val="left"/>
        <w:textAlignment w:val="center"/>
        <w:rPr>
          <w:sz w:val="21"/>
        </w:rPr>
      </w:pPr>
      <w:r>
        <w:rPr>
          <w:sz w:val="21"/>
        </w:rPr>
        <w:t>②为便于筛选单倍体，研究者向S中转入能在胚和胚乳中表达的红色荧光蛋白基因RFP，得到转基因纯合子S</w:t>
      </w:r>
      <w:r>
        <w:rPr>
          <w:sz w:val="21"/>
          <w:vertAlign w:val="superscript"/>
        </w:rPr>
        <w:t>+</w:t>
      </w:r>
      <w:r>
        <w:rPr>
          <w:sz w:val="21"/>
        </w:rPr>
        <w:t>。用S</w:t>
      </w:r>
      <w:r>
        <w:rPr>
          <w:sz w:val="21"/>
          <w:vertAlign w:val="superscript"/>
        </w:rPr>
        <w:t>+</w:t>
      </w:r>
      <w:r>
        <w:rPr>
          <w:sz w:val="21"/>
        </w:rPr>
        <w:t>给普通二倍体马铃薯授粉，筛选出胚</w:t>
      </w:r>
      <w:r>
        <w:rPr>
          <w:rFonts w:ascii="Times New Roman" w:hAnsi="Times New Roman" w:eastAsia="Times New Roman" w:cs="Times New Roman"/>
          <w:b w:val="0"/>
          <w:sz w:val="21"/>
        </w:rPr>
        <w:t>________</w:t>
      </w:r>
      <w:r>
        <w:rPr>
          <w:sz w:val="21"/>
        </w:rPr>
        <w:t>（选填“有”或“无”）红色荧光、胚乳</w:t>
      </w:r>
      <w:r>
        <w:rPr>
          <w:rFonts w:ascii="Times New Roman" w:hAnsi="Times New Roman" w:eastAsia="Times New Roman" w:cs="Times New Roman"/>
          <w:b w:val="0"/>
          <w:sz w:val="21"/>
        </w:rPr>
        <w:t>________</w:t>
      </w:r>
      <w:r>
        <w:rPr>
          <w:sz w:val="21"/>
        </w:rPr>
        <w:t>（选填“有”或“无”）红色荧光性状的种子即为单倍体种子。</w:t>
      </w:r>
    </w:p>
    <w:p w14:paraId="2867275E">
      <w:pPr>
        <w:shd w:val="clear" w:color="auto" w:fill="auto"/>
        <w:spacing w:line="240" w:lineRule="auto"/>
        <w:jc w:val="left"/>
        <w:textAlignment w:val="center"/>
        <w:rPr>
          <w:sz w:val="21"/>
        </w:rPr>
      </w:pPr>
      <w:r>
        <w:rPr>
          <w:sz w:val="21"/>
        </w:rPr>
        <w:t>③将获得的单倍体种子在</w:t>
      </w:r>
      <w:r>
        <w:rPr>
          <w:rFonts w:ascii="Times New Roman" w:hAnsi="Times New Roman" w:eastAsia="Times New Roman" w:cs="Times New Roman"/>
          <w:b w:val="0"/>
          <w:sz w:val="21"/>
        </w:rPr>
        <w:t>________</w:t>
      </w:r>
      <w:r>
        <w:rPr>
          <w:sz w:val="21"/>
        </w:rPr>
        <w:t>阶段用秋水仙素处理，筛选出野生种自交亲和纯合子。</w:t>
      </w:r>
    </w:p>
    <w:p w14:paraId="3C577925">
      <w:pPr>
        <w:shd w:val="clear" w:color="auto" w:fill="auto"/>
        <w:spacing w:line="240" w:lineRule="auto"/>
        <w:jc w:val="left"/>
        <w:textAlignment w:val="center"/>
        <w:rPr>
          <w:sz w:val="21"/>
        </w:rPr>
      </w:pPr>
      <w:r>
        <w:rPr>
          <w:sz w:val="21"/>
        </w:rPr>
        <w:t>21．人类耳蜗中的听毛细胞是一种终末分化细胞，与正常听力的维持关系密切。</w:t>
      </w:r>
    </w:p>
    <w:p w14:paraId="63AC8FA8">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anchor distT="0" distB="0" distL="114300" distR="114300" simplePos="0" relativeHeight="251666432" behindDoc="0" locked="0" layoutInCell="1" allowOverlap="1">
            <wp:simplePos x="0" y="0"/>
            <wp:positionH relativeFrom="column">
              <wp:posOffset>973455</wp:posOffset>
            </wp:positionH>
            <wp:positionV relativeFrom="paragraph">
              <wp:posOffset>565150</wp:posOffset>
            </wp:positionV>
            <wp:extent cx="3305175" cy="2057400"/>
            <wp:effectExtent l="0" t="0" r="9525" b="0"/>
            <wp:wrapNone/>
            <wp:docPr id="100033" name="图片 100033" descr="@@@0cb25c10-701d-4623-ae01-243d9801bd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0cb25c10-701d-4623-ae01-243d9801bd6a"/>
                    <pic:cNvPicPr>
                      <a:picLocks noChangeAspect="1"/>
                    </pic:cNvPicPr>
                  </pic:nvPicPr>
                  <pic:blipFill>
                    <a:blip r:embed="rId26"/>
                    <a:stretch>
                      <a:fillRect/>
                    </a:stretch>
                  </pic:blipFill>
                  <pic:spPr>
                    <a:xfrm>
                      <a:off x="0" y="0"/>
                      <a:ext cx="3305175" cy="2057400"/>
                    </a:xfrm>
                    <a:prstGeom prst="rect">
                      <a:avLst/>
                    </a:prstGeom>
                  </pic:spPr>
                </pic:pic>
              </a:graphicData>
            </a:graphic>
          </wp:anchor>
        </w:drawing>
      </w:r>
      <w:r>
        <w:rPr>
          <w:sz w:val="21"/>
        </w:rPr>
        <w:t>听毛细胞数量有限，受药物、长时间噪音等因素影响会死亡。听毛细胞顶部的纤毛位于蜗管的内淋巴液中，其余部分位于外淋巴液中，当声音传到耳蜗时，听毛细胞的纤毛发生偏转，纤毛顶端的K</w:t>
      </w:r>
      <w:r>
        <w:rPr>
          <w:sz w:val="21"/>
          <w:vertAlign w:val="superscript"/>
        </w:rPr>
        <w:t>＋</w:t>
      </w:r>
      <w:r>
        <w:rPr>
          <w:sz w:val="21"/>
        </w:rPr>
        <w:t>通道开启，K</w:t>
      </w:r>
      <w:r>
        <w:rPr>
          <w:sz w:val="21"/>
          <w:vertAlign w:val="superscript"/>
        </w:rPr>
        <w:t>＋</w:t>
      </w:r>
      <w:r>
        <w:rPr>
          <w:sz w:val="21"/>
        </w:rPr>
        <w:t>内流，听毛细胞兴奋，并传递给听神经细胞，过程如图1所示。</w:t>
      </w:r>
    </w:p>
    <w:p w14:paraId="194286A2">
      <w:pPr>
        <w:shd w:val="clear" w:color="auto" w:fill="auto"/>
        <w:spacing w:line="240" w:lineRule="auto"/>
        <w:jc w:val="left"/>
        <w:textAlignment w:val="center"/>
        <w:rPr>
          <w:sz w:val="21"/>
        </w:rPr>
      </w:pPr>
    </w:p>
    <w:p w14:paraId="5B850516">
      <w:pPr>
        <w:shd w:val="clear" w:color="auto" w:fill="auto"/>
        <w:spacing w:line="240" w:lineRule="auto"/>
        <w:jc w:val="left"/>
        <w:textAlignment w:val="center"/>
        <w:rPr>
          <w:sz w:val="21"/>
        </w:rPr>
      </w:pPr>
    </w:p>
    <w:p w14:paraId="1BB88B8E">
      <w:pPr>
        <w:shd w:val="clear" w:color="auto" w:fill="auto"/>
        <w:spacing w:line="240" w:lineRule="auto"/>
        <w:jc w:val="left"/>
        <w:textAlignment w:val="center"/>
        <w:rPr>
          <w:sz w:val="21"/>
        </w:rPr>
      </w:pPr>
    </w:p>
    <w:p w14:paraId="73BB6E6A">
      <w:pPr>
        <w:shd w:val="clear" w:color="auto" w:fill="auto"/>
        <w:spacing w:line="240" w:lineRule="auto"/>
        <w:jc w:val="left"/>
        <w:textAlignment w:val="center"/>
        <w:rPr>
          <w:sz w:val="21"/>
        </w:rPr>
      </w:pPr>
    </w:p>
    <w:p w14:paraId="46DBE086">
      <w:pPr>
        <w:shd w:val="clear" w:color="auto" w:fill="auto"/>
        <w:spacing w:line="240" w:lineRule="auto"/>
        <w:jc w:val="left"/>
        <w:textAlignment w:val="center"/>
        <w:rPr>
          <w:sz w:val="21"/>
        </w:rPr>
      </w:pPr>
    </w:p>
    <w:p w14:paraId="7C24453D">
      <w:pPr>
        <w:shd w:val="clear" w:color="auto" w:fill="auto"/>
        <w:spacing w:line="240" w:lineRule="auto"/>
        <w:jc w:val="left"/>
        <w:textAlignment w:val="center"/>
        <w:rPr>
          <w:sz w:val="21"/>
        </w:rPr>
      </w:pPr>
    </w:p>
    <w:p w14:paraId="3A002ED2">
      <w:pPr>
        <w:shd w:val="clear" w:color="auto" w:fill="auto"/>
        <w:spacing w:line="240" w:lineRule="auto"/>
        <w:jc w:val="left"/>
        <w:textAlignment w:val="center"/>
        <w:rPr>
          <w:sz w:val="21"/>
        </w:rPr>
      </w:pPr>
    </w:p>
    <w:p w14:paraId="56145710">
      <w:pPr>
        <w:shd w:val="clear" w:color="auto" w:fill="auto"/>
        <w:spacing w:line="240" w:lineRule="auto"/>
        <w:jc w:val="left"/>
        <w:textAlignment w:val="center"/>
        <w:rPr>
          <w:sz w:val="21"/>
        </w:rPr>
      </w:pPr>
    </w:p>
    <w:p w14:paraId="2A9901FB">
      <w:pPr>
        <w:shd w:val="clear" w:color="auto" w:fill="auto"/>
        <w:spacing w:line="240" w:lineRule="auto"/>
        <w:jc w:val="left"/>
        <w:textAlignment w:val="center"/>
        <w:rPr>
          <w:sz w:val="21"/>
        </w:rPr>
      </w:pPr>
      <w:r>
        <w:rPr>
          <w:sz w:val="21"/>
        </w:rPr>
        <w:t>(1)声波振动引起听毛细胞顶部的纤毛弯曲，使</w:t>
      </w:r>
      <w:r>
        <w:rPr>
          <w:rFonts w:ascii="Times New Roman" w:hAnsi="Times New Roman" w:eastAsia="Times New Roman" w:cs="Times New Roman"/>
          <w:b w:val="0"/>
          <w:sz w:val="21"/>
        </w:rPr>
        <w:t>______</w:t>
      </w:r>
      <w:r>
        <w:rPr>
          <w:sz w:val="21"/>
        </w:rPr>
        <w:t>，K</w:t>
      </w:r>
      <w:r>
        <w:rPr>
          <w:sz w:val="21"/>
          <w:vertAlign w:val="superscript"/>
        </w:rPr>
        <w:t>＋</w:t>
      </w:r>
      <w:r>
        <w:rPr>
          <w:sz w:val="21"/>
        </w:rPr>
        <w:t>通过</w:t>
      </w:r>
      <w:r>
        <w:rPr>
          <w:rFonts w:ascii="Times New Roman" w:hAnsi="Times New Roman" w:eastAsia="Times New Roman" w:cs="Times New Roman"/>
          <w:b w:val="0"/>
          <w:sz w:val="21"/>
        </w:rPr>
        <w:t>______</w:t>
      </w:r>
      <w:r>
        <w:rPr>
          <w:sz w:val="21"/>
        </w:rPr>
        <w:t>的方式由内淋巴液进入听毛细胞，发生的信号转换情况为</w:t>
      </w:r>
      <w:r>
        <w:rPr>
          <w:rFonts w:ascii="Times New Roman" w:hAnsi="Times New Roman" w:eastAsia="Times New Roman" w:cs="Times New Roman"/>
          <w:b w:val="0"/>
          <w:sz w:val="21"/>
        </w:rPr>
        <w:t>______</w:t>
      </w:r>
      <w:r>
        <w:rPr>
          <w:sz w:val="21"/>
        </w:rPr>
        <w:t>，产生的兴奋经传导进一步触发听毛细胞底部的</w:t>
      </w:r>
      <w:r>
        <w:rPr>
          <w:rFonts w:ascii="Times New Roman" w:hAnsi="Times New Roman" w:eastAsia="Times New Roman" w:cs="Times New Roman"/>
          <w:b w:val="0"/>
          <w:sz w:val="21"/>
        </w:rPr>
        <w:t>______</w:t>
      </w:r>
      <w:r>
        <w:rPr>
          <w:sz w:val="21"/>
        </w:rPr>
        <w:t>。</w:t>
      </w:r>
    </w:p>
    <w:p w14:paraId="444D14D4">
      <w:pPr>
        <w:shd w:val="clear" w:color="auto" w:fill="auto"/>
        <w:spacing w:line="240" w:lineRule="auto"/>
        <w:jc w:val="left"/>
        <w:textAlignment w:val="center"/>
        <w:rPr>
          <w:sz w:val="21"/>
        </w:rPr>
      </w:pPr>
      <w:r>
        <w:rPr>
          <w:sz w:val="21"/>
        </w:rPr>
        <w:t>(2)听毛细胞属于反射弧中的</w:t>
      </w:r>
      <w:r>
        <w:rPr>
          <w:rFonts w:ascii="Times New Roman" w:hAnsi="Times New Roman" w:eastAsia="Times New Roman" w:cs="Times New Roman"/>
          <w:b w:val="0"/>
          <w:sz w:val="21"/>
        </w:rPr>
        <w:t>______</w:t>
      </w:r>
      <w:r>
        <w:rPr>
          <w:sz w:val="21"/>
        </w:rPr>
        <w:t>，蜗管内淋巴液维持高K</w:t>
      </w:r>
      <w:r>
        <w:rPr>
          <w:sz w:val="21"/>
          <w:vertAlign w:val="superscript"/>
        </w:rPr>
        <w:t>＋</w:t>
      </w:r>
      <w:r>
        <w:rPr>
          <w:sz w:val="21"/>
        </w:rPr>
        <w:t>状态的意义是</w:t>
      </w:r>
      <w:r>
        <w:rPr>
          <w:rFonts w:ascii="Times New Roman" w:hAnsi="Times New Roman" w:eastAsia="Times New Roman" w:cs="Times New Roman"/>
          <w:b w:val="0"/>
          <w:sz w:val="21"/>
        </w:rPr>
        <w:t>______</w:t>
      </w:r>
      <w:r>
        <w:rPr>
          <w:sz w:val="21"/>
        </w:rPr>
        <w:t>。</w:t>
      </w:r>
    </w:p>
    <w:p w14:paraId="038FFC13">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anchor distT="0" distB="0" distL="114300" distR="114300" simplePos="0" relativeHeight="251667456" behindDoc="0" locked="0" layoutInCell="1" allowOverlap="1">
            <wp:simplePos x="0" y="0"/>
            <wp:positionH relativeFrom="column">
              <wp:posOffset>3346450</wp:posOffset>
            </wp:positionH>
            <wp:positionV relativeFrom="paragraph">
              <wp:posOffset>768985</wp:posOffset>
            </wp:positionV>
            <wp:extent cx="1908810" cy="1948180"/>
            <wp:effectExtent l="0" t="0" r="8890" b="7620"/>
            <wp:wrapNone/>
            <wp:docPr id="100035" name="图片 100035" descr="@@@10bdb5ab-2fb4-40ce-a49c-dc42be3a0f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10bdb5ab-2fb4-40ce-a49c-dc42be3a0fe0"/>
                    <pic:cNvPicPr>
                      <a:picLocks noChangeAspect="1"/>
                    </pic:cNvPicPr>
                  </pic:nvPicPr>
                  <pic:blipFill>
                    <a:blip r:embed="rId27">
                      <a:clrChange>
                        <a:clrFrom>
                          <a:srgbClr val="FFFFFF">
                            <a:alpha val="100000"/>
                          </a:srgbClr>
                        </a:clrFrom>
                        <a:clrTo>
                          <a:srgbClr val="FFFFFF">
                            <a:alpha val="100000"/>
                            <a:alpha val="0"/>
                          </a:srgbClr>
                        </a:clrTo>
                      </a:clrChange>
                    </a:blip>
                    <a:stretch>
                      <a:fillRect/>
                    </a:stretch>
                  </pic:blipFill>
                  <pic:spPr>
                    <a:xfrm>
                      <a:off x="0" y="0"/>
                      <a:ext cx="1908810" cy="1948180"/>
                    </a:xfrm>
                    <a:prstGeom prst="rect">
                      <a:avLst/>
                    </a:prstGeom>
                  </pic:spPr>
                </pic:pic>
              </a:graphicData>
            </a:graphic>
          </wp:anchor>
        </w:drawing>
      </w:r>
      <w:r>
        <w:rPr>
          <w:sz w:val="21"/>
        </w:rPr>
        <w:t>(3)临床治疗发现，博来霉素、甲氨蝶呤氮芥等耳毒性药物，可能导致耳蜗中毒引起感音神经性听力损失（SNHL），试分析耳蜗中毒导致机体出现该现象的机理是</w:t>
      </w:r>
      <w:r>
        <w:rPr>
          <w:rFonts w:ascii="Times New Roman" w:hAnsi="Times New Roman" w:eastAsia="Times New Roman" w:cs="Times New Roman"/>
          <w:b w:val="0"/>
          <w:sz w:val="21"/>
        </w:rPr>
        <w:t>______</w:t>
      </w:r>
      <w:r>
        <w:rPr>
          <w:sz w:val="21"/>
        </w:rPr>
        <w:t>。个别学会语言前就发生SNHL的患者在植入人工耳蜗后，仍然出现了理解障碍（只能听到声音，而不能听懂语言），出现这种现象的原因是该患者的</w:t>
      </w:r>
      <w:r>
        <w:rPr>
          <w:rFonts w:ascii="Times New Roman" w:hAnsi="Times New Roman" w:eastAsia="Times New Roman" w:cs="Times New Roman"/>
          <w:b w:val="0"/>
          <w:sz w:val="21"/>
        </w:rPr>
        <w:t>______</w:t>
      </w:r>
      <w:r>
        <w:rPr>
          <w:sz w:val="21"/>
        </w:rPr>
        <w:t>未正常发育导致不能听懂语言。</w:t>
      </w:r>
    </w:p>
    <w:p w14:paraId="59E21A7A">
      <w:pPr>
        <w:shd w:val="clear" w:color="auto" w:fill="auto"/>
        <w:spacing w:line="240" w:lineRule="auto"/>
        <w:jc w:val="left"/>
        <w:textAlignment w:val="center"/>
        <w:rPr>
          <w:sz w:val="21"/>
        </w:rPr>
      </w:pPr>
      <w:r>
        <w:rPr>
          <w:sz w:val="21"/>
        </w:rPr>
        <w:t>(4)目前，免疫治疗是一种治疗癌症的新兴方法，可通过</w:t>
      </w:r>
    </w:p>
    <w:p w14:paraId="704983F9">
      <w:pPr>
        <w:shd w:val="clear" w:color="auto" w:fill="auto"/>
        <w:spacing w:line="240" w:lineRule="auto"/>
        <w:jc w:val="left"/>
        <w:textAlignment w:val="center"/>
        <w:rPr>
          <w:sz w:val="21"/>
        </w:rPr>
      </w:pPr>
      <w:r>
        <w:rPr>
          <w:sz w:val="21"/>
        </w:rPr>
        <w:t>激活机体的细胞免疫杀灭肿瘤细胞，但对内淋巴囊肿瘤</w:t>
      </w:r>
    </w:p>
    <w:p w14:paraId="50A2E2B8">
      <w:pPr>
        <w:shd w:val="clear" w:color="auto" w:fill="auto"/>
        <w:spacing w:line="240" w:lineRule="auto"/>
        <w:jc w:val="left"/>
        <w:textAlignment w:val="center"/>
        <w:rPr>
          <w:sz w:val="21"/>
        </w:rPr>
      </w:pPr>
      <w:r>
        <w:rPr>
          <w:sz w:val="21"/>
        </w:rPr>
        <w:t>的治疗效果不佳。研究发现，这类患者癌细胞生活的微</w:t>
      </w:r>
    </w:p>
    <w:p w14:paraId="3761951E">
      <w:pPr>
        <w:shd w:val="clear" w:color="auto" w:fill="auto"/>
        <w:spacing w:line="240" w:lineRule="auto"/>
        <w:jc w:val="left"/>
        <w:textAlignment w:val="center"/>
        <w:rPr>
          <w:sz w:val="21"/>
        </w:rPr>
      </w:pPr>
      <w:r>
        <w:rPr>
          <w:sz w:val="21"/>
        </w:rPr>
        <w:t>环境中存在高浓度乳酸，为研究乳酸浓度与疗效之间的</w:t>
      </w:r>
    </w:p>
    <w:p w14:paraId="0939221B">
      <w:pPr>
        <w:shd w:val="clear" w:color="auto" w:fill="auto"/>
        <w:spacing w:line="240" w:lineRule="auto"/>
        <w:jc w:val="left"/>
        <w:textAlignment w:val="center"/>
        <w:rPr>
          <w:sz w:val="21"/>
        </w:rPr>
      </w:pPr>
      <w:r>
        <w:rPr>
          <w:sz w:val="21"/>
        </w:rPr>
        <w:t>关系，研究人员进行了相关实验，结果如图2（细胞分</w:t>
      </w:r>
    </w:p>
    <w:p w14:paraId="7EAE6CDB">
      <w:pPr>
        <w:shd w:val="clear" w:color="auto" w:fill="auto"/>
        <w:spacing w:line="240" w:lineRule="auto"/>
        <w:jc w:val="left"/>
        <w:textAlignment w:val="center"/>
        <w:rPr>
          <w:sz w:val="21"/>
        </w:rPr>
      </w:pPr>
      <w:r>
        <w:rPr>
          <w:sz w:val="21"/>
        </w:rPr>
        <w:t>裂指数越高表示增殖越旺盛）</w:t>
      </w:r>
    </w:p>
    <w:p w14:paraId="6EC3B6D4">
      <w:pPr>
        <w:shd w:val="clear" w:color="auto" w:fill="auto"/>
        <w:spacing w:line="240" w:lineRule="auto"/>
        <w:jc w:val="left"/>
        <w:textAlignment w:val="center"/>
        <w:rPr>
          <w:sz w:val="21"/>
        </w:rPr>
      </w:pPr>
      <w:r>
        <w:rPr>
          <w:sz w:val="21"/>
        </w:rPr>
        <w:t>（注：Treg细胞能抑制T细胞增殖和细胞因子的分泌，</w:t>
      </w:r>
    </w:p>
    <w:p w14:paraId="73001713">
      <w:pPr>
        <w:shd w:val="clear" w:color="auto" w:fill="auto"/>
        <w:spacing w:line="240" w:lineRule="auto"/>
        <w:jc w:val="left"/>
        <w:textAlignment w:val="center"/>
        <w:rPr>
          <w:sz w:val="21"/>
        </w:rPr>
      </w:pPr>
      <w:r>
        <w:rPr>
          <w:sz w:val="21"/>
        </w:rPr>
        <w:t>进而抑制机体免疫）</w:t>
      </w:r>
    </w:p>
    <w:p w14:paraId="7C7B258E">
      <w:pPr>
        <w:shd w:val="clear" w:color="auto" w:fill="auto"/>
        <w:spacing w:line="240" w:lineRule="auto"/>
        <w:jc w:val="left"/>
        <w:textAlignment w:val="center"/>
        <w:rPr>
          <w:sz w:val="21"/>
        </w:rPr>
      </w:pPr>
      <w:r>
        <w:rPr>
          <w:sz w:val="21"/>
        </w:rPr>
        <w:t>结合上述信息，试分析免疫治疗对内淋巴囊肿瘤患者疗效</w:t>
      </w:r>
    </w:p>
    <w:p w14:paraId="4E6EE72B">
      <w:pPr>
        <w:shd w:val="clear" w:color="auto" w:fill="auto"/>
        <w:spacing w:line="240" w:lineRule="auto"/>
        <w:jc w:val="left"/>
        <w:textAlignment w:val="center"/>
        <w:rPr>
          <w:sz w:val="21"/>
        </w:rPr>
      </w:pPr>
      <w:r>
        <w:rPr>
          <w:sz w:val="21"/>
        </w:rPr>
        <w:t>不佳的原因是</w:t>
      </w:r>
      <w:r>
        <w:rPr>
          <w:rFonts w:ascii="Times New Roman" w:hAnsi="Times New Roman" w:eastAsia="Times New Roman" w:cs="Times New Roman"/>
          <w:b w:val="0"/>
          <w:sz w:val="21"/>
        </w:rPr>
        <w:t>_________________________________________________________________</w:t>
      </w:r>
      <w:r>
        <w:rPr>
          <w:sz w:val="21"/>
        </w:rPr>
        <w:t>。</w:t>
      </w:r>
    </w:p>
    <w:p w14:paraId="0AE2CF28">
      <w:pPr>
        <w:shd w:val="clear" w:color="auto" w:fill="auto"/>
        <w:spacing w:line="240" w:lineRule="auto"/>
        <w:jc w:val="left"/>
        <w:textAlignment w:val="center"/>
        <w:rPr>
          <w:sz w:val="21"/>
        </w:rPr>
      </w:pPr>
      <w:r>
        <w:rPr>
          <w:sz w:val="21"/>
        </w:rPr>
        <w:t>22．恶性肿瘤往往先向淋巴结初始转移形成淋巴结转移瘤，再经淋巴结实现远端转移。科学家开展实验探索肿瘤初始转移的机制以及淋巴结转移对远端转移的影响。</w:t>
      </w:r>
    </w:p>
    <w:p w14:paraId="31581B8C">
      <w:pPr>
        <w:shd w:val="clear" w:color="auto" w:fill="auto"/>
        <w:spacing w:line="240" w:lineRule="auto"/>
        <w:jc w:val="left"/>
        <w:textAlignment w:val="center"/>
        <w:rPr>
          <w:sz w:val="21"/>
        </w:rPr>
      </w:pPr>
      <w:r>
        <w:rPr>
          <w:sz w:val="21"/>
        </w:rPr>
        <w:t>(1)正常情况下，原位瘤细胞转移至淋巴结会激活NK细胞和细胞毒性T细胞，前者非特异性杀伤瘤细胞，后者则在辅助T细胞分泌的</w:t>
      </w:r>
      <w:r>
        <w:rPr>
          <w:rFonts w:ascii="Times New Roman" w:hAnsi="Times New Roman" w:eastAsia="Times New Roman" w:cs="Times New Roman"/>
          <w:b w:val="0"/>
          <w:sz w:val="21"/>
        </w:rPr>
        <w:t>_____________</w:t>
      </w:r>
      <w:r>
        <w:rPr>
          <w:sz w:val="21"/>
        </w:rPr>
        <w:t>的作用下，经</w:t>
      </w:r>
      <w:r>
        <w:rPr>
          <w:rFonts w:ascii="Times New Roman" w:hAnsi="Times New Roman" w:eastAsia="Times New Roman" w:cs="Times New Roman"/>
          <w:b w:val="0"/>
          <w:sz w:val="21"/>
        </w:rPr>
        <w:t>_____________</w:t>
      </w:r>
      <w:r>
        <w:rPr>
          <w:sz w:val="21"/>
        </w:rPr>
        <w:t>过程产生新的细胞毒性T细胞裂解瘤细胞。</w:t>
      </w:r>
    </w:p>
    <w:p w14:paraId="27AC351D">
      <w:pPr>
        <w:shd w:val="clear" w:color="auto" w:fill="auto"/>
        <w:spacing w:line="240" w:lineRule="auto"/>
        <w:jc w:val="left"/>
        <w:textAlignment w:val="center"/>
        <w:rPr>
          <w:sz w:val="21"/>
        </w:rPr>
      </w:pPr>
      <w:r>
        <w:rPr>
          <w:sz w:val="21"/>
        </w:rPr>
        <w:t>(2)将原位瘤细胞FO和淋巴结转移的瘤细胞LN6等量接种于同一健康小鼠体内进行研究，过程如图1。</w:t>
      </w:r>
    </w:p>
    <w:p w14:paraId="62DFE62C">
      <w:pPr>
        <w:shd w:val="clear" w:color="auto" w:fill="auto"/>
        <w:spacing w:line="240" w:lineRule="auto"/>
        <w:jc w:val="center"/>
        <w:textAlignment w:val="center"/>
        <w:rPr>
          <w:sz w:val="21"/>
        </w:rPr>
      </w:pPr>
      <w:r>
        <w:rPr>
          <w:rFonts w:ascii="Times New Roman" w:hAnsi="Times New Roman" w:eastAsia="Times New Roman" w:cs="Times New Roman"/>
          <w:strike w:val="0"/>
          <w:kern w:val="0"/>
          <w:sz w:val="24"/>
          <w:szCs w:val="24"/>
          <w:u w:val="none"/>
        </w:rPr>
        <w:drawing>
          <wp:inline distT="0" distB="0" distL="114300" distR="114300">
            <wp:extent cx="4896485" cy="1727200"/>
            <wp:effectExtent l="0" t="0" r="5715" b="0"/>
            <wp:docPr id="100037" name="图片 100037" descr="@@@e3116f90-2229-4834-9ab1-d29a6da2aa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e3116f90-2229-4834-9ab1-d29a6da2aa38"/>
                    <pic:cNvPicPr>
                      <a:picLocks noChangeAspect="1"/>
                    </pic:cNvPicPr>
                  </pic:nvPicPr>
                  <pic:blipFill>
                    <a:blip r:embed="rId28"/>
                    <a:stretch>
                      <a:fillRect/>
                    </a:stretch>
                  </pic:blipFill>
                  <pic:spPr>
                    <a:xfrm>
                      <a:off x="0" y="0"/>
                      <a:ext cx="4896485" cy="1727200"/>
                    </a:xfrm>
                    <a:prstGeom prst="rect">
                      <a:avLst/>
                    </a:prstGeom>
                  </pic:spPr>
                </pic:pic>
              </a:graphicData>
            </a:graphic>
          </wp:inline>
        </w:drawing>
      </w:r>
    </w:p>
    <w:p w14:paraId="50C8E016">
      <w:pPr>
        <w:shd w:val="clear" w:color="auto" w:fill="auto"/>
        <w:spacing w:line="240" w:lineRule="auto"/>
        <w:jc w:val="left"/>
        <w:textAlignment w:val="center"/>
        <w:rPr>
          <w:sz w:val="21"/>
        </w:rPr>
      </w:pPr>
      <w:r>
        <w:rPr>
          <w:sz w:val="21"/>
        </w:rPr>
        <w:t>①已知FO和LN6的增殖能力无显著差异，图1结果说明</w:t>
      </w:r>
      <w:r>
        <w:rPr>
          <w:rFonts w:ascii="Times New Roman" w:hAnsi="Times New Roman" w:eastAsia="Times New Roman" w:cs="Times New Roman"/>
          <w:b w:val="0"/>
          <w:sz w:val="21"/>
        </w:rPr>
        <w:t>_____________</w:t>
      </w:r>
      <w:r>
        <w:rPr>
          <w:sz w:val="21"/>
        </w:rPr>
        <w:t>向淋巴结转移的能力更强。</w:t>
      </w:r>
    </w:p>
    <w:p w14:paraId="00377B20">
      <w:pPr>
        <w:shd w:val="clear" w:color="auto" w:fill="auto"/>
        <w:spacing w:line="240" w:lineRule="auto"/>
        <w:jc w:val="left"/>
        <w:textAlignment w:val="center"/>
        <w:rPr>
          <w:sz w:val="21"/>
        </w:rPr>
      </w:pPr>
      <w:r>
        <w:rPr>
          <w:sz w:val="21"/>
        </w:rPr>
        <w:t>②为排除红绿荧光蛋白可能存在的检测差异干扰实验结果，需增设一组实验，大致思路为</w:t>
      </w:r>
      <w:r>
        <w:rPr>
          <w:rFonts w:ascii="Times New Roman" w:hAnsi="Times New Roman" w:eastAsia="Times New Roman" w:cs="Times New Roman"/>
          <w:b w:val="0"/>
          <w:sz w:val="21"/>
        </w:rPr>
        <w:t>____________</w:t>
      </w:r>
      <w:r>
        <w:rPr>
          <w:sz w:val="21"/>
        </w:rPr>
        <w:t>。</w:t>
      </w:r>
    </w:p>
    <w:p w14:paraId="4E86E08F">
      <w:pPr>
        <w:shd w:val="clear" w:color="auto" w:fill="auto"/>
        <w:spacing w:line="240" w:lineRule="auto"/>
        <w:jc w:val="left"/>
        <w:textAlignment w:val="center"/>
        <w:rPr>
          <w:sz w:val="21"/>
        </w:rPr>
      </w:pPr>
      <w:r>
        <w:rPr>
          <w:sz w:val="21"/>
        </w:rPr>
        <w:t>(3)为探究原位瘤细胞初始转移的机制，科研人员又开展了如下实验：</w:t>
      </w:r>
    </w:p>
    <w:p w14:paraId="710614FF">
      <w:pPr>
        <w:shd w:val="clear" w:color="auto" w:fill="auto"/>
        <w:spacing w:line="240" w:lineRule="auto"/>
        <w:jc w:val="left"/>
        <w:textAlignment w:val="center"/>
        <w:rPr>
          <w:sz w:val="21"/>
        </w:rPr>
      </w:pPr>
      <w:r>
        <w:rPr>
          <w:sz w:val="21"/>
        </w:rPr>
        <w:t>①将FO中编码MHC-1分子关键蛋白的基因敲除，再将其接种于小鼠体内，发现其向淋巴结转移的能力降低，但去除该小鼠的NK细胞后其转移能力恢复。说明NK细胞通过识别</w:t>
      </w:r>
      <w:r>
        <w:rPr>
          <w:rFonts w:ascii="Times New Roman" w:hAnsi="Times New Roman" w:eastAsia="Times New Roman" w:cs="Times New Roman"/>
          <w:b w:val="0"/>
          <w:sz w:val="21"/>
        </w:rPr>
        <w:t>_____________</w:t>
      </w:r>
      <w:r>
        <w:rPr>
          <w:sz w:val="21"/>
        </w:rPr>
        <w:t>（高表达/低表达）的MHC-1杀伤瘤细胞。</w:t>
      </w:r>
    </w:p>
    <w:p w14:paraId="22FE24EB">
      <w:pPr>
        <w:shd w:val="clear" w:color="auto" w:fill="auto"/>
        <w:spacing w:line="240" w:lineRule="auto"/>
        <w:jc w:val="left"/>
        <w:textAlignment w:val="center"/>
        <w:rPr>
          <w:sz w:val="21"/>
        </w:rPr>
      </w:pPr>
      <w:r>
        <w:rPr>
          <w:sz w:val="21"/>
        </w:rPr>
        <w:t>②PD-L1可与T细胞表面的特定蛋白结合，抑制其杀伤作用。进一步研究表明原位瘤细胞通过调节MHC-1分子和PD-L1的表达量，抑制NK和T细胞的杀伤作用，以增强转移能力。请在表格中填写“高”或“低”，将支持上述结论的实验结果补充完整</w:t>
      </w:r>
      <w:r>
        <w:rPr>
          <w:rFonts w:ascii="Times New Roman" w:hAnsi="Times New Roman" w:eastAsia="Times New Roman" w:cs="Times New Roman"/>
          <w:b w:val="0"/>
          <w:sz w:val="21"/>
        </w:rPr>
        <w:t>______</w:t>
      </w:r>
      <w:r>
        <w:rPr>
          <w:sz w:val="21"/>
        </w:rPr>
        <w:t>。</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4452"/>
        <w:gridCol w:w="1996"/>
        <w:gridCol w:w="1915"/>
      </w:tblGrid>
      <w:tr w14:paraId="5BB98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61A7F71">
            <w:pPr>
              <w:shd w:val="clear" w:color="auto" w:fill="auto"/>
              <w:spacing w:line="240" w:lineRule="auto"/>
              <w:jc w:val="center"/>
              <w:textAlignment w:val="center"/>
              <w:rPr>
                <w:sz w:val="21"/>
              </w:rPr>
            </w:pPr>
            <w:r>
              <w:rPr>
                <w:sz w:val="21"/>
              </w:rPr>
              <w:t>肿瘤细胞的类型</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DA03DBF">
            <w:pPr>
              <w:shd w:val="clear" w:color="auto" w:fill="auto"/>
              <w:spacing w:line="240" w:lineRule="auto"/>
              <w:jc w:val="center"/>
              <w:textAlignment w:val="center"/>
              <w:rPr>
                <w:sz w:val="21"/>
              </w:rPr>
            </w:pPr>
            <w:r>
              <w:rPr>
                <w:sz w:val="21"/>
              </w:rPr>
              <w:t>MHC-1分子表达量</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A5ED3CE">
            <w:pPr>
              <w:shd w:val="clear" w:color="auto" w:fill="auto"/>
              <w:spacing w:line="240" w:lineRule="auto"/>
              <w:jc w:val="center"/>
              <w:textAlignment w:val="center"/>
              <w:rPr>
                <w:sz w:val="21"/>
              </w:rPr>
            </w:pPr>
            <w:r>
              <w:rPr>
                <w:sz w:val="21"/>
              </w:rPr>
              <w:t>PD-L1分子表达量</w:t>
            </w:r>
          </w:p>
        </w:tc>
      </w:tr>
      <w:tr w14:paraId="3F9BB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627AA53">
            <w:pPr>
              <w:shd w:val="clear" w:color="auto" w:fill="auto"/>
              <w:spacing w:line="240" w:lineRule="auto"/>
              <w:jc w:val="center"/>
              <w:textAlignment w:val="center"/>
              <w:rPr>
                <w:sz w:val="21"/>
              </w:rPr>
            </w:pPr>
            <w:r>
              <w:rPr>
                <w:sz w:val="21"/>
              </w:rPr>
              <w:t>来自于正常小鼠的淋巴结转移瘤</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11C3748">
            <w:pPr>
              <w:shd w:val="clear" w:color="auto" w:fill="auto"/>
              <w:spacing w:line="240" w:lineRule="auto"/>
              <w:jc w:val="center"/>
              <w:textAlignment w:val="center"/>
              <w:rPr>
                <w:sz w:val="21"/>
              </w:rPr>
            </w:pP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289E7D4">
            <w:pPr>
              <w:shd w:val="clear" w:color="auto" w:fill="auto"/>
              <w:spacing w:line="240" w:lineRule="auto"/>
              <w:jc w:val="center"/>
              <w:textAlignment w:val="center"/>
              <w:rPr>
                <w:sz w:val="21"/>
              </w:rPr>
            </w:pPr>
          </w:p>
        </w:tc>
      </w:tr>
      <w:tr w14:paraId="41149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2536C13">
            <w:pPr>
              <w:shd w:val="clear" w:color="auto" w:fill="auto"/>
              <w:spacing w:line="240" w:lineRule="auto"/>
              <w:jc w:val="center"/>
              <w:textAlignment w:val="center"/>
              <w:rPr>
                <w:sz w:val="21"/>
              </w:rPr>
            </w:pPr>
            <w:r>
              <w:rPr>
                <w:sz w:val="21"/>
              </w:rPr>
              <w:t>来自于T细胞缺失小鼠的淋巴结转移瘤</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0405961">
            <w:pPr>
              <w:shd w:val="clear" w:color="auto" w:fill="auto"/>
              <w:spacing w:line="240" w:lineRule="auto"/>
              <w:jc w:val="center"/>
              <w:textAlignment w:val="center"/>
              <w:rPr>
                <w:sz w:val="21"/>
              </w:rPr>
            </w:pP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1374B92">
            <w:pPr>
              <w:shd w:val="clear" w:color="auto" w:fill="auto"/>
              <w:spacing w:line="240" w:lineRule="auto"/>
              <w:jc w:val="center"/>
              <w:textAlignment w:val="center"/>
              <w:rPr>
                <w:sz w:val="21"/>
              </w:rPr>
            </w:pPr>
            <w:r>
              <w:rPr>
                <w:sz w:val="21"/>
              </w:rPr>
              <w:t>低</w:t>
            </w:r>
          </w:p>
        </w:tc>
      </w:tr>
      <w:tr w14:paraId="00C2E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AFBA662">
            <w:pPr>
              <w:shd w:val="clear" w:color="auto" w:fill="auto"/>
              <w:spacing w:line="240" w:lineRule="auto"/>
              <w:jc w:val="center"/>
              <w:textAlignment w:val="center"/>
              <w:rPr>
                <w:sz w:val="21"/>
              </w:rPr>
            </w:pPr>
            <w:r>
              <w:rPr>
                <w:sz w:val="21"/>
              </w:rPr>
              <w:t>来自于T和NK细胞缺失小鼠的淋巴结转移瘤</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BD40D37">
            <w:pPr>
              <w:shd w:val="clear" w:color="auto" w:fill="auto"/>
              <w:spacing w:line="240" w:lineRule="auto"/>
              <w:jc w:val="center"/>
              <w:textAlignment w:val="center"/>
              <w:rPr>
                <w:sz w:val="21"/>
              </w:rPr>
            </w:pPr>
            <w:r>
              <w:rPr>
                <w:sz w:val="21"/>
              </w:rPr>
              <w:t>低</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95A799B">
            <w:pPr>
              <w:shd w:val="clear" w:color="auto" w:fill="auto"/>
              <w:spacing w:line="240" w:lineRule="auto"/>
              <w:jc w:val="center"/>
              <w:textAlignment w:val="center"/>
              <w:rPr>
                <w:sz w:val="21"/>
              </w:rPr>
            </w:pPr>
          </w:p>
        </w:tc>
      </w:tr>
    </w:tbl>
    <w:p w14:paraId="6BD94474">
      <w:pPr>
        <w:shd w:val="clear" w:color="auto" w:fill="auto"/>
        <w:spacing w:line="240" w:lineRule="auto"/>
        <w:jc w:val="left"/>
        <w:textAlignment w:val="center"/>
        <w:rPr>
          <w:sz w:val="21"/>
        </w:rPr>
      </w:pPr>
      <w:r>
        <w:rPr>
          <w:sz w:val="21"/>
        </w:rPr>
        <w:t>(4)细胞因子TCF-β能促进调节性T细胞的增殖，从而加强后者对辅助T细胞的抑制作用。科研人员将FO和LN6接种在野生型小鼠体内，检测该小鼠血清中的TGF-β浓度和瘤细胞远端转移率（图2）；又将不同类型的瘤细胞混合DT毒素（可清除调节性T细胞）接种于小鼠体内，检测瘤细胞的远端转移率（图3）。</w:t>
      </w:r>
    </w:p>
    <w:p w14:paraId="1785603C">
      <w:pPr>
        <w:shd w:val="clear" w:color="auto" w:fill="auto"/>
        <w:spacing w:line="240" w:lineRule="auto"/>
        <w:jc w:val="center"/>
        <w:textAlignment w:val="center"/>
        <w:rPr>
          <w:sz w:val="21"/>
        </w:rPr>
      </w:pPr>
      <w:r>
        <w:rPr>
          <w:rFonts w:ascii="Times New Roman" w:hAnsi="Times New Roman" w:eastAsia="Times New Roman" w:cs="Times New Roman"/>
          <w:strike w:val="0"/>
          <w:kern w:val="0"/>
          <w:sz w:val="24"/>
          <w:szCs w:val="24"/>
          <w:u w:val="none"/>
        </w:rPr>
        <w:drawing>
          <wp:inline distT="0" distB="0" distL="114300" distR="114300">
            <wp:extent cx="4496435" cy="1438910"/>
            <wp:effectExtent l="0" t="0" r="12065" b="8890"/>
            <wp:docPr id="100039" name="图片 100039" descr="@@@4fcd7fc8-ba83-40ad-ad81-46b6977a51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4fcd7fc8-ba83-40ad-ad81-46b6977a51d6"/>
                    <pic:cNvPicPr>
                      <a:picLocks noChangeAspect="1"/>
                    </pic:cNvPicPr>
                  </pic:nvPicPr>
                  <pic:blipFill>
                    <a:blip r:embed="rId29"/>
                    <a:stretch>
                      <a:fillRect/>
                    </a:stretch>
                  </pic:blipFill>
                  <pic:spPr>
                    <a:xfrm>
                      <a:off x="0" y="0"/>
                      <a:ext cx="4496435" cy="1438910"/>
                    </a:xfrm>
                    <a:prstGeom prst="rect">
                      <a:avLst/>
                    </a:prstGeom>
                  </pic:spPr>
                </pic:pic>
              </a:graphicData>
            </a:graphic>
          </wp:inline>
        </w:drawing>
      </w:r>
    </w:p>
    <w:p w14:paraId="19E395B9">
      <w:pPr>
        <w:shd w:val="clear" w:color="auto" w:fill="auto"/>
        <w:spacing w:line="240" w:lineRule="auto"/>
        <w:jc w:val="left"/>
        <w:textAlignment w:val="center"/>
        <w:rPr>
          <w:sz w:val="21"/>
        </w:rPr>
      </w:pPr>
      <w:r>
        <w:rPr>
          <w:sz w:val="21"/>
        </w:rPr>
        <w:t>综合上述相关信息和免疫学相关知识可知，淋巴结转移可</w:t>
      </w:r>
      <w:r>
        <w:rPr>
          <w:rFonts w:ascii="Times New Roman" w:hAnsi="Times New Roman" w:eastAsia="Times New Roman" w:cs="Times New Roman"/>
          <w:b w:val="0"/>
          <w:sz w:val="21"/>
        </w:rPr>
        <w:t>____________</w:t>
      </w:r>
      <w:r>
        <w:rPr>
          <w:sz w:val="21"/>
        </w:rPr>
        <w:t>（促进/抑制）远端转移，其可能的机制是</w:t>
      </w:r>
      <w:r>
        <w:rPr>
          <w:rFonts w:ascii="Times New Roman" w:hAnsi="Times New Roman" w:eastAsia="Times New Roman" w:cs="Times New Roman"/>
          <w:b w:val="0"/>
          <w:sz w:val="21"/>
        </w:rPr>
        <w:t>_____________</w:t>
      </w:r>
      <w:r>
        <w:rPr>
          <w:sz w:val="21"/>
        </w:rPr>
        <w:t>。</w:t>
      </w:r>
    </w:p>
    <w:p w14:paraId="4C744447">
      <w:pPr>
        <w:spacing w:line="240" w:lineRule="auto"/>
        <w:jc w:val="left"/>
        <w:textAlignment w:val="center"/>
        <w:rPr>
          <w:rFonts w:ascii="宋体" w:hAnsi="宋体" w:eastAsia="宋体" w:cs="宋体"/>
          <w:b/>
          <w:i w:val="0"/>
          <w:color w:val="000000"/>
          <w:sz w:val="21"/>
        </w:rPr>
      </w:pPr>
      <w:r>
        <w:rPr>
          <w:rFonts w:ascii="宋体" w:hAnsi="宋体" w:eastAsia="宋体" w:cs="宋体"/>
          <w:b/>
          <w:i w:val="0"/>
          <w:color w:val="000000"/>
          <w:sz w:val="21"/>
        </w:rPr>
        <w:t>四、实验题</w:t>
      </w:r>
    </w:p>
    <w:p w14:paraId="182A28AE">
      <w:pPr>
        <w:shd w:val="clear" w:color="auto" w:fill="auto"/>
        <w:spacing w:line="240" w:lineRule="auto"/>
        <w:jc w:val="left"/>
        <w:textAlignment w:val="center"/>
        <w:rPr>
          <w:sz w:val="21"/>
        </w:rPr>
      </w:pPr>
      <w:r>
        <w:rPr>
          <w:sz w:val="21"/>
        </w:rPr>
        <w:t>23．研究发现实体肿瘤内部通常是缺氧环境，蓖麻毒素蛋白（RTA）可作用于核糖体，使蛋白合成受阻，从而引起细胞死亡。TAT是一种短肽，可转导蛋白进入细胞，含有氧依赖性降解区域ODD（多肽）的融合蛋白可以适应低氧条件稳定存在，但在常氧条件下会被蛋白酶降解。科研人员以RTA作为抑制肿瘤细胞增殖的活性分子，利用TAT的作用将融合蛋白转运进入肿瘤细胞，并利用ODD的作用减轻RTA对正常细胞的毒性，分别构建了含TAT-RTA（660bp）和TAT-RTA-ODD（870bp）融合基因的表达载体，并成功得到相关融合蛋白。</w:t>
      </w:r>
    </w:p>
    <w:p w14:paraId="3E376922">
      <w:pPr>
        <w:shd w:val="clear" w:color="auto" w:fill="auto"/>
        <w:spacing w:line="240" w:lineRule="auto"/>
        <w:jc w:val="left"/>
        <w:textAlignment w:val="center"/>
        <w:rPr>
          <w:sz w:val="21"/>
        </w:rPr>
      </w:pPr>
      <w:r>
        <w:rPr>
          <w:sz w:val="21"/>
        </w:rPr>
        <w:t>(1)可通过PCR技术获取融合基因TAT-RTA，前提是根据TAT和RTA基因设计引物，引物的作用是</w:t>
      </w:r>
      <w:r>
        <w:rPr>
          <w:rFonts w:ascii="Times New Roman" w:hAnsi="Times New Roman" w:eastAsia="Times New Roman" w:cs="Times New Roman"/>
          <w:b w:val="0"/>
          <w:sz w:val="21"/>
        </w:rPr>
        <w:t>______</w:t>
      </w:r>
      <w:r>
        <w:rPr>
          <w:sz w:val="21"/>
        </w:rPr>
        <w:t>。已知RTA基因和欲得到的TAT-RTA融合基因的结构如图1所示，TAT基因编码链序列为5'ATGAGCTACGGCCGTAAAAAGAGACGCCAACGTAGA3'，为顺利构建表达载体，需在引物1、2的</w:t>
      </w:r>
      <w:r>
        <w:rPr>
          <w:rFonts w:ascii="Times New Roman" w:hAnsi="Times New Roman" w:eastAsia="Times New Roman" w:cs="Times New Roman"/>
          <w:b w:val="0"/>
          <w:sz w:val="21"/>
        </w:rPr>
        <w:t>______</w:t>
      </w:r>
      <w:r>
        <w:rPr>
          <w:sz w:val="21"/>
        </w:rPr>
        <w:t>端分别加入</w:t>
      </w:r>
      <w:r>
        <w:rPr>
          <w:rFonts w:ascii="Times New Roman" w:hAnsi="Times New Roman" w:eastAsia="Times New Roman" w:cs="Times New Roman"/>
          <w:b w:val="0"/>
          <w:sz w:val="21"/>
        </w:rPr>
        <w:t>______</w:t>
      </w:r>
      <w:r>
        <w:rPr>
          <w:sz w:val="21"/>
        </w:rPr>
        <w:t>酶切位点；要求在RTA蛋白的前端引入TAT短肽，则引物1的前12个碱基序列为</w:t>
      </w:r>
      <w:r>
        <w:rPr>
          <w:rFonts w:ascii="Times New Roman" w:hAnsi="Times New Roman" w:eastAsia="Times New Roman" w:cs="Times New Roman"/>
          <w:b w:val="0"/>
          <w:sz w:val="21"/>
        </w:rPr>
        <w:t>______</w:t>
      </w:r>
      <w:r>
        <w:rPr>
          <w:sz w:val="21"/>
        </w:rPr>
        <w:t>。</w:t>
      </w:r>
    </w:p>
    <w:p w14:paraId="3E24993E">
      <w:pPr>
        <w:shd w:val="clear" w:color="auto" w:fill="auto"/>
        <w:spacing w:line="240" w:lineRule="auto"/>
        <w:jc w:val="left"/>
        <w:textAlignment w:val="center"/>
        <w:rPr>
          <w:sz w:val="21"/>
        </w:rPr>
      </w:pPr>
      <w:r>
        <w:rPr>
          <w:sz w:val="21"/>
        </w:rPr>
        <w:t>A、5'GGATCCATGAGC3'B．</w:t>
      </w:r>
      <w:r>
        <w:rPr>
          <w:rFonts w:hint="eastAsia"/>
          <w:sz w:val="21"/>
          <w:lang w:val="en-US" w:eastAsia="zh-CN"/>
        </w:rPr>
        <w:t xml:space="preserve">             </w:t>
      </w:r>
      <w:r>
        <w:rPr>
          <w:sz w:val="21"/>
        </w:rPr>
        <w:t>B、5'GGATCCATCTTC3'C．</w:t>
      </w:r>
    </w:p>
    <w:p w14:paraId="5D70DD43">
      <w:pPr>
        <w:shd w:val="clear" w:color="auto" w:fill="auto"/>
        <w:spacing w:line="240" w:lineRule="auto"/>
        <w:jc w:val="left"/>
        <w:textAlignment w:val="center"/>
        <w:rPr>
          <w:sz w:val="21"/>
        </w:rPr>
      </w:pPr>
      <w:r>
        <w:rPr>
          <w:sz w:val="21"/>
        </w:rPr>
        <w:t>C、5'GGATCCTACTCG3'D．</w:t>
      </w:r>
      <w:r>
        <w:rPr>
          <w:rFonts w:hint="eastAsia"/>
          <w:sz w:val="21"/>
          <w:lang w:val="en-US" w:eastAsia="zh-CN"/>
        </w:rPr>
        <w:t xml:space="preserve">             </w:t>
      </w:r>
      <w:r>
        <w:rPr>
          <w:sz w:val="21"/>
        </w:rPr>
        <w:t>D、5'CTCGAGATGAGC3'</w:t>
      </w:r>
    </w:p>
    <w:p w14:paraId="4F8524F6">
      <w:pPr>
        <w:shd w:val="clear" w:color="auto" w:fill="auto"/>
        <w:spacing w:line="240" w:lineRule="auto"/>
        <w:jc w:val="left"/>
        <w:textAlignment w:val="center"/>
        <w:rPr>
          <w:sz w:val="21"/>
        </w:rPr>
      </w:pPr>
      <w:r>
        <w:rPr>
          <w:rFonts w:ascii="Times New Roman" w:hAnsi="Times New Roman" w:eastAsia="Times New Roman" w:cs="Times New Roman"/>
          <w:strike w:val="0"/>
          <w:kern w:val="0"/>
          <w:sz w:val="24"/>
          <w:szCs w:val="24"/>
          <w:u w:val="none"/>
        </w:rPr>
        <w:drawing>
          <wp:anchor distT="0" distB="0" distL="114300" distR="114300" simplePos="0" relativeHeight="251668480" behindDoc="0" locked="0" layoutInCell="1" allowOverlap="1">
            <wp:simplePos x="0" y="0"/>
            <wp:positionH relativeFrom="column">
              <wp:posOffset>2592705</wp:posOffset>
            </wp:positionH>
            <wp:positionV relativeFrom="paragraph">
              <wp:posOffset>99695</wp:posOffset>
            </wp:positionV>
            <wp:extent cx="3264535" cy="1219835"/>
            <wp:effectExtent l="0" t="0" r="12065" b="12065"/>
            <wp:wrapNone/>
            <wp:docPr id="100043" name="图片 100043" descr="@@@2fb416e9-1f6c-4ffc-8541-66ea4caf6f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2fb416e9-1f6c-4ffc-8541-66ea4caf6fbb"/>
                    <pic:cNvPicPr>
                      <a:picLocks noChangeAspect="1"/>
                    </pic:cNvPicPr>
                  </pic:nvPicPr>
                  <pic:blipFill>
                    <a:blip r:embed="rId30"/>
                    <a:stretch>
                      <a:fillRect/>
                    </a:stretch>
                  </pic:blipFill>
                  <pic:spPr>
                    <a:xfrm>
                      <a:off x="0" y="0"/>
                      <a:ext cx="3264535" cy="1219835"/>
                    </a:xfrm>
                    <a:prstGeom prst="rect">
                      <a:avLst/>
                    </a:prstGeom>
                  </pic:spPr>
                </pic:pic>
              </a:graphicData>
            </a:graphic>
          </wp:anchor>
        </w:drawing>
      </w:r>
      <w:r>
        <w:rPr>
          <w:rFonts w:ascii="Times New Roman" w:hAnsi="Times New Roman" w:eastAsia="Times New Roman" w:cs="Times New Roman"/>
          <w:strike w:val="0"/>
          <w:kern w:val="0"/>
          <w:sz w:val="24"/>
          <w:szCs w:val="24"/>
          <w:u w:val="none"/>
        </w:rPr>
        <w:drawing>
          <wp:anchor distT="0" distB="0" distL="114300" distR="114300" simplePos="0" relativeHeight="251669504" behindDoc="0" locked="0" layoutInCell="1" allowOverlap="1">
            <wp:simplePos x="0" y="0"/>
            <wp:positionH relativeFrom="column">
              <wp:posOffset>-539750</wp:posOffset>
            </wp:positionH>
            <wp:positionV relativeFrom="paragraph">
              <wp:posOffset>19050</wp:posOffset>
            </wp:positionV>
            <wp:extent cx="3143885" cy="1362075"/>
            <wp:effectExtent l="0" t="0" r="0" b="9525"/>
            <wp:wrapNone/>
            <wp:docPr id="100041" name="图片 100041" descr="@@@460db93e71f1478d90ca6cefd94fe9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460db93e71f1478d90ca6cefd94fe9f6"/>
                    <pic:cNvPicPr>
                      <a:picLocks noChangeAspect="1"/>
                    </pic:cNvPicPr>
                  </pic:nvPicPr>
                  <pic:blipFill>
                    <a:blip r:embed="rId31">
                      <a:clrChange>
                        <a:clrFrom>
                          <a:srgbClr val="FFFFFF">
                            <a:alpha val="100000"/>
                          </a:srgbClr>
                        </a:clrFrom>
                        <a:clrTo>
                          <a:srgbClr val="FFFFFF">
                            <a:alpha val="100000"/>
                            <a:alpha val="0"/>
                          </a:srgbClr>
                        </a:clrTo>
                      </a:clrChange>
                    </a:blip>
                    <a:stretch>
                      <a:fillRect/>
                    </a:stretch>
                  </pic:blipFill>
                  <pic:spPr>
                    <a:xfrm>
                      <a:off x="0" y="0"/>
                      <a:ext cx="3143885" cy="1362075"/>
                    </a:xfrm>
                    <a:prstGeom prst="rect">
                      <a:avLst/>
                    </a:prstGeom>
                  </pic:spPr>
                </pic:pic>
              </a:graphicData>
            </a:graphic>
          </wp:anchor>
        </w:drawing>
      </w:r>
    </w:p>
    <w:p w14:paraId="62B03713">
      <w:pPr>
        <w:shd w:val="clear" w:color="auto" w:fill="auto"/>
        <w:spacing w:line="240" w:lineRule="auto"/>
        <w:jc w:val="left"/>
        <w:textAlignment w:val="center"/>
        <w:rPr>
          <w:sz w:val="21"/>
        </w:rPr>
      </w:pPr>
    </w:p>
    <w:p w14:paraId="68C59A77">
      <w:pPr>
        <w:shd w:val="clear" w:color="auto" w:fill="auto"/>
        <w:spacing w:line="240" w:lineRule="auto"/>
        <w:jc w:val="left"/>
        <w:textAlignment w:val="center"/>
        <w:rPr>
          <w:sz w:val="21"/>
        </w:rPr>
      </w:pPr>
    </w:p>
    <w:p w14:paraId="7E00539D">
      <w:pPr>
        <w:shd w:val="clear" w:color="auto" w:fill="auto"/>
        <w:spacing w:line="240" w:lineRule="auto"/>
        <w:jc w:val="left"/>
        <w:textAlignment w:val="center"/>
        <w:rPr>
          <w:sz w:val="21"/>
        </w:rPr>
      </w:pPr>
    </w:p>
    <w:p w14:paraId="4B20E752">
      <w:pPr>
        <w:shd w:val="clear" w:color="auto" w:fill="auto"/>
        <w:spacing w:line="240" w:lineRule="auto"/>
        <w:jc w:val="left"/>
        <w:textAlignment w:val="center"/>
        <w:rPr>
          <w:sz w:val="21"/>
        </w:rPr>
      </w:pPr>
    </w:p>
    <w:p w14:paraId="7B4AD80C">
      <w:pPr>
        <w:shd w:val="clear" w:color="auto" w:fill="auto"/>
        <w:spacing w:line="240" w:lineRule="auto"/>
        <w:jc w:val="left"/>
        <w:textAlignment w:val="center"/>
        <w:rPr>
          <w:sz w:val="21"/>
        </w:rPr>
      </w:pPr>
    </w:p>
    <w:p w14:paraId="65C38452">
      <w:pPr>
        <w:shd w:val="clear" w:color="auto" w:fill="auto"/>
        <w:spacing w:line="240" w:lineRule="auto"/>
        <w:jc w:val="left"/>
        <w:textAlignment w:val="center"/>
        <w:rPr>
          <w:sz w:val="21"/>
        </w:rPr>
      </w:pPr>
    </w:p>
    <w:p w14:paraId="41D335D8">
      <w:pPr>
        <w:shd w:val="clear" w:color="auto" w:fill="auto"/>
        <w:spacing w:line="240" w:lineRule="auto"/>
        <w:jc w:val="left"/>
        <w:textAlignment w:val="center"/>
        <w:rPr>
          <w:sz w:val="21"/>
        </w:rPr>
      </w:pPr>
      <w:bookmarkStart w:id="0" w:name="_GoBack"/>
      <w:bookmarkEnd w:id="0"/>
      <w:r>
        <w:rPr>
          <w:sz w:val="21"/>
        </w:rPr>
        <w:t>(2)载体的部分结构如图2所示，His标签由连续的6个组氨酸构成，可用于对重组融合蛋白进行分离纯化。将PCR得到的TAT-RTA融合基因和载体双酶切后，再用</w:t>
      </w:r>
      <w:r>
        <w:rPr>
          <w:rFonts w:ascii="Times New Roman" w:hAnsi="Times New Roman" w:eastAsia="Times New Roman" w:cs="Times New Roman"/>
          <w:b w:val="0"/>
          <w:sz w:val="21"/>
        </w:rPr>
        <w:t>______</w:t>
      </w:r>
      <w:r>
        <w:rPr>
          <w:sz w:val="21"/>
        </w:rPr>
        <w:t>酶连接。但在研究时发现融合蛋白中没有His标签蛋白，据图分析原因很可能是</w:t>
      </w:r>
      <w:r>
        <w:rPr>
          <w:rFonts w:ascii="Times New Roman" w:hAnsi="Times New Roman" w:eastAsia="Times New Roman" w:cs="Times New Roman"/>
          <w:b w:val="0"/>
          <w:sz w:val="21"/>
        </w:rPr>
        <w:t>______</w:t>
      </w:r>
      <w:r>
        <w:rPr>
          <w:sz w:val="21"/>
        </w:rPr>
        <w:t>；为使His标签正常表达，可在A碱基左右两侧各插入1个碱基，正常情况下最多可对应</w:t>
      </w:r>
      <w:r>
        <w:rPr>
          <w:rFonts w:ascii="Times New Roman" w:hAnsi="Times New Roman" w:eastAsia="Times New Roman" w:cs="Times New Roman"/>
          <w:b w:val="0"/>
          <w:sz w:val="21"/>
        </w:rPr>
        <w:t>______</w:t>
      </w:r>
      <w:r>
        <w:rPr>
          <w:sz w:val="21"/>
        </w:rPr>
        <w:t>种密码子。</w:t>
      </w:r>
    </w:p>
    <w:p w14:paraId="2AB8D48A">
      <w:pPr>
        <w:shd w:val="clear" w:color="auto" w:fill="auto"/>
        <w:spacing w:line="240" w:lineRule="auto"/>
        <w:jc w:val="left"/>
        <w:textAlignment w:val="center"/>
        <w:rPr>
          <w:sz w:val="21"/>
        </w:rPr>
      </w:pPr>
    </w:p>
    <w:p w14:paraId="0FFC7C8F">
      <w:pPr>
        <w:shd w:val="clear" w:color="auto" w:fill="auto"/>
        <w:spacing w:line="240" w:lineRule="auto"/>
        <w:jc w:val="left"/>
        <w:textAlignment w:val="center"/>
        <w:rPr>
          <w:sz w:val="21"/>
        </w:rPr>
        <w:sectPr>
          <w:footerReference r:id="rId3" w:type="default"/>
          <w:footerReference r:id="rId4" w:type="even"/>
          <w:pgSz w:w="11907" w:h="16839"/>
          <w:pgMar w:top="1020" w:right="1707" w:bottom="1440" w:left="1800" w:header="851" w:footer="425" w:gutter="0"/>
          <w:cols w:space="425" w:num="1" w:sep="1"/>
          <w:docGrid w:type="lines" w:linePitch="312" w:charSpace="0"/>
        </w:sectPr>
      </w:pPr>
    </w:p>
    <w:p w14:paraId="65DE3683">
      <w:pPr>
        <w:spacing w:line="240" w:lineRule="auto"/>
        <w:jc w:val="center"/>
        <w:textAlignment w:val="center"/>
        <w:rPr>
          <w:rFonts w:ascii="宋体" w:hAnsi="宋体" w:eastAsia="宋体" w:cs="宋体"/>
          <w:b/>
          <w:i w:val="0"/>
          <w:color w:val="000000"/>
          <w:sz w:val="21"/>
        </w:rPr>
      </w:pPr>
      <w:r>
        <w:rPr>
          <w:rFonts w:ascii="宋体" w:hAnsi="宋体" w:eastAsia="宋体" w:cs="宋体"/>
          <w:b/>
          <w:i w:val="0"/>
          <w:color w:val="000000"/>
          <w:sz w:val="21"/>
        </w:rPr>
        <w:t>《2024届江苏省南京市、盐城市高三一模生物试题》参考答案</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774"/>
        <w:gridCol w:w="775"/>
        <w:gridCol w:w="775"/>
        <w:gridCol w:w="775"/>
        <w:gridCol w:w="775"/>
        <w:gridCol w:w="775"/>
        <w:gridCol w:w="775"/>
        <w:gridCol w:w="775"/>
        <w:gridCol w:w="775"/>
        <w:gridCol w:w="775"/>
      </w:tblGrid>
      <w:tr w14:paraId="2B247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1928B67D">
            <w:pPr>
              <w:spacing w:line="240" w:lineRule="auto"/>
              <w:jc w:val="center"/>
              <w:textAlignment w:val="center"/>
              <w:rPr>
                <w:rFonts w:ascii="宋体" w:hAnsi="宋体" w:eastAsia="宋体" w:cs="宋体"/>
                <w:b/>
                <w:i w:val="0"/>
                <w:color w:val="000000"/>
                <w:sz w:val="21"/>
              </w:rPr>
            </w:pPr>
            <w:r>
              <w:rPr>
                <w:rFonts w:ascii="宋体" w:hAnsi="宋体" w:eastAsia="宋体" w:cs="宋体"/>
                <w:b/>
                <w:i w:val="0"/>
                <w:color w:val="000000"/>
                <w:sz w:val="21"/>
              </w:rPr>
              <w:t>题号</w:t>
            </w:r>
          </w:p>
        </w:tc>
        <w:tc>
          <w:tcPr>
            <w:tcW w:w="454" w:type="pct"/>
            <w:tcMar>
              <w:top w:w="0" w:type="dxa"/>
              <w:bottom w:w="0" w:type="dxa"/>
            </w:tcMar>
            <w:vAlign w:val="center"/>
          </w:tcPr>
          <w:p w14:paraId="62DCFF55">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w:t>
            </w:r>
          </w:p>
        </w:tc>
        <w:tc>
          <w:tcPr>
            <w:tcW w:w="454" w:type="pct"/>
            <w:tcMar>
              <w:top w:w="0" w:type="dxa"/>
              <w:bottom w:w="0" w:type="dxa"/>
            </w:tcMar>
            <w:vAlign w:val="center"/>
          </w:tcPr>
          <w:p w14:paraId="6227BD81">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2</w:t>
            </w:r>
          </w:p>
        </w:tc>
        <w:tc>
          <w:tcPr>
            <w:tcW w:w="454" w:type="pct"/>
            <w:tcMar>
              <w:top w:w="0" w:type="dxa"/>
              <w:bottom w:w="0" w:type="dxa"/>
            </w:tcMar>
            <w:vAlign w:val="center"/>
          </w:tcPr>
          <w:p w14:paraId="5490F67C">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3</w:t>
            </w:r>
          </w:p>
        </w:tc>
        <w:tc>
          <w:tcPr>
            <w:tcW w:w="454" w:type="pct"/>
            <w:tcMar>
              <w:top w:w="0" w:type="dxa"/>
              <w:bottom w:w="0" w:type="dxa"/>
            </w:tcMar>
            <w:vAlign w:val="center"/>
          </w:tcPr>
          <w:p w14:paraId="3DF568A2">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4</w:t>
            </w:r>
          </w:p>
        </w:tc>
        <w:tc>
          <w:tcPr>
            <w:tcW w:w="454" w:type="pct"/>
            <w:tcMar>
              <w:top w:w="0" w:type="dxa"/>
              <w:bottom w:w="0" w:type="dxa"/>
            </w:tcMar>
            <w:vAlign w:val="center"/>
          </w:tcPr>
          <w:p w14:paraId="39592404">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5</w:t>
            </w:r>
          </w:p>
        </w:tc>
        <w:tc>
          <w:tcPr>
            <w:tcW w:w="454" w:type="pct"/>
            <w:tcMar>
              <w:top w:w="0" w:type="dxa"/>
              <w:bottom w:w="0" w:type="dxa"/>
            </w:tcMar>
            <w:vAlign w:val="center"/>
          </w:tcPr>
          <w:p w14:paraId="46813390">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6</w:t>
            </w:r>
          </w:p>
        </w:tc>
        <w:tc>
          <w:tcPr>
            <w:tcW w:w="454" w:type="pct"/>
            <w:tcMar>
              <w:top w:w="0" w:type="dxa"/>
              <w:bottom w:w="0" w:type="dxa"/>
            </w:tcMar>
            <w:vAlign w:val="center"/>
          </w:tcPr>
          <w:p w14:paraId="23CAE8F8">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7</w:t>
            </w:r>
          </w:p>
        </w:tc>
        <w:tc>
          <w:tcPr>
            <w:tcW w:w="454" w:type="pct"/>
            <w:tcMar>
              <w:top w:w="0" w:type="dxa"/>
              <w:bottom w:w="0" w:type="dxa"/>
            </w:tcMar>
            <w:vAlign w:val="center"/>
          </w:tcPr>
          <w:p w14:paraId="2B399562">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8</w:t>
            </w:r>
          </w:p>
        </w:tc>
        <w:tc>
          <w:tcPr>
            <w:tcW w:w="454" w:type="pct"/>
            <w:tcMar>
              <w:top w:w="0" w:type="dxa"/>
              <w:bottom w:w="0" w:type="dxa"/>
            </w:tcMar>
            <w:vAlign w:val="center"/>
          </w:tcPr>
          <w:p w14:paraId="034ADEA6">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9</w:t>
            </w:r>
          </w:p>
        </w:tc>
        <w:tc>
          <w:tcPr>
            <w:tcW w:w="454" w:type="pct"/>
            <w:tcMar>
              <w:top w:w="0" w:type="dxa"/>
              <w:bottom w:w="0" w:type="dxa"/>
            </w:tcMar>
            <w:vAlign w:val="center"/>
          </w:tcPr>
          <w:p w14:paraId="5BE31D41">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10</w:t>
            </w:r>
          </w:p>
        </w:tc>
      </w:tr>
      <w:tr w14:paraId="31407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4158A2FF">
            <w:pPr>
              <w:spacing w:line="240" w:lineRule="auto"/>
              <w:jc w:val="center"/>
              <w:textAlignment w:val="center"/>
              <w:rPr>
                <w:rFonts w:ascii="宋体" w:hAnsi="宋体" w:eastAsia="宋体" w:cs="宋体"/>
                <w:b/>
                <w:i w:val="0"/>
                <w:color w:val="000000"/>
                <w:sz w:val="21"/>
              </w:rPr>
            </w:pPr>
            <w:r>
              <w:rPr>
                <w:rFonts w:ascii="宋体" w:hAnsi="宋体" w:eastAsia="宋体" w:cs="宋体"/>
                <w:b/>
                <w:i w:val="0"/>
                <w:color w:val="000000"/>
                <w:sz w:val="21"/>
              </w:rPr>
              <w:t>答案</w:t>
            </w:r>
          </w:p>
        </w:tc>
        <w:tc>
          <w:tcPr>
            <w:tcW w:w="454" w:type="pct"/>
            <w:tcMar>
              <w:top w:w="0" w:type="dxa"/>
              <w:bottom w:w="0" w:type="dxa"/>
            </w:tcMar>
            <w:vAlign w:val="center"/>
          </w:tcPr>
          <w:p w14:paraId="46B3267D">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D</w:t>
            </w:r>
          </w:p>
        </w:tc>
        <w:tc>
          <w:tcPr>
            <w:tcW w:w="454" w:type="pct"/>
            <w:tcMar>
              <w:top w:w="0" w:type="dxa"/>
              <w:bottom w:w="0" w:type="dxa"/>
            </w:tcMar>
            <w:vAlign w:val="center"/>
          </w:tcPr>
          <w:p w14:paraId="009EABD7">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361311AD">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6849C3A3">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18254B89">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1D57A809">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2C369E8E">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4AC5C227">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6C91F209">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D</w:t>
            </w:r>
          </w:p>
        </w:tc>
        <w:tc>
          <w:tcPr>
            <w:tcW w:w="454" w:type="pct"/>
            <w:tcMar>
              <w:top w:w="0" w:type="dxa"/>
              <w:bottom w:w="0" w:type="dxa"/>
            </w:tcMar>
            <w:vAlign w:val="center"/>
          </w:tcPr>
          <w:p w14:paraId="2A453C36">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r>
      <w:tr w14:paraId="7F3B9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520723E4">
            <w:pPr>
              <w:spacing w:line="240" w:lineRule="auto"/>
              <w:jc w:val="center"/>
              <w:textAlignment w:val="center"/>
              <w:rPr>
                <w:rFonts w:ascii="宋体" w:hAnsi="宋体" w:eastAsia="宋体" w:cs="宋体"/>
                <w:b/>
                <w:i w:val="0"/>
                <w:color w:val="000000"/>
                <w:sz w:val="21"/>
              </w:rPr>
            </w:pPr>
            <w:r>
              <w:rPr>
                <w:rFonts w:ascii="宋体" w:hAnsi="宋体" w:eastAsia="宋体" w:cs="宋体"/>
                <w:b/>
                <w:i w:val="0"/>
                <w:color w:val="000000"/>
                <w:sz w:val="21"/>
              </w:rPr>
              <w:t>题号</w:t>
            </w:r>
          </w:p>
        </w:tc>
        <w:tc>
          <w:tcPr>
            <w:tcW w:w="454" w:type="pct"/>
            <w:tcMar>
              <w:top w:w="0" w:type="dxa"/>
              <w:bottom w:w="0" w:type="dxa"/>
            </w:tcMar>
            <w:vAlign w:val="center"/>
          </w:tcPr>
          <w:p w14:paraId="6006B2AA">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11</w:t>
            </w:r>
          </w:p>
        </w:tc>
        <w:tc>
          <w:tcPr>
            <w:tcW w:w="454" w:type="pct"/>
            <w:tcMar>
              <w:top w:w="0" w:type="dxa"/>
              <w:bottom w:w="0" w:type="dxa"/>
            </w:tcMar>
            <w:vAlign w:val="center"/>
          </w:tcPr>
          <w:p w14:paraId="046B6EF0">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12</w:t>
            </w:r>
          </w:p>
        </w:tc>
        <w:tc>
          <w:tcPr>
            <w:tcW w:w="454" w:type="pct"/>
            <w:tcMar>
              <w:top w:w="0" w:type="dxa"/>
              <w:bottom w:w="0" w:type="dxa"/>
            </w:tcMar>
            <w:vAlign w:val="center"/>
          </w:tcPr>
          <w:p w14:paraId="43A93AAB">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13</w:t>
            </w:r>
          </w:p>
        </w:tc>
        <w:tc>
          <w:tcPr>
            <w:tcW w:w="454" w:type="pct"/>
            <w:tcMar>
              <w:top w:w="0" w:type="dxa"/>
              <w:bottom w:w="0" w:type="dxa"/>
            </w:tcMar>
            <w:vAlign w:val="center"/>
          </w:tcPr>
          <w:p w14:paraId="0F45BBDE">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14</w:t>
            </w:r>
          </w:p>
        </w:tc>
        <w:tc>
          <w:tcPr>
            <w:tcW w:w="454" w:type="pct"/>
            <w:tcMar>
              <w:top w:w="0" w:type="dxa"/>
              <w:bottom w:w="0" w:type="dxa"/>
            </w:tcMar>
            <w:vAlign w:val="center"/>
          </w:tcPr>
          <w:p w14:paraId="16A2B04E">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15</w:t>
            </w:r>
          </w:p>
        </w:tc>
        <w:tc>
          <w:tcPr>
            <w:tcW w:w="454" w:type="pct"/>
            <w:tcMar>
              <w:top w:w="0" w:type="dxa"/>
              <w:bottom w:w="0" w:type="dxa"/>
            </w:tcMar>
            <w:vAlign w:val="center"/>
          </w:tcPr>
          <w:p w14:paraId="1BCA2A4C">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16</w:t>
            </w:r>
          </w:p>
        </w:tc>
        <w:tc>
          <w:tcPr>
            <w:tcW w:w="454" w:type="pct"/>
            <w:tcMar>
              <w:top w:w="0" w:type="dxa"/>
              <w:bottom w:w="0" w:type="dxa"/>
            </w:tcMar>
            <w:vAlign w:val="center"/>
          </w:tcPr>
          <w:p w14:paraId="21E97384">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17</w:t>
            </w:r>
          </w:p>
        </w:tc>
        <w:tc>
          <w:tcPr>
            <w:tcW w:w="454" w:type="pct"/>
            <w:tcMar>
              <w:top w:w="0" w:type="dxa"/>
              <w:bottom w:w="0" w:type="dxa"/>
            </w:tcMar>
            <w:vAlign w:val="center"/>
          </w:tcPr>
          <w:p w14:paraId="7D14997D">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18</w:t>
            </w:r>
          </w:p>
        </w:tc>
        <w:tc>
          <w:tcPr>
            <w:tcW w:w="454" w:type="pct"/>
            <w:tcMar>
              <w:top w:w="0" w:type="dxa"/>
              <w:bottom w:w="0" w:type="dxa"/>
            </w:tcMar>
            <w:vAlign w:val="center"/>
          </w:tcPr>
          <w:p w14:paraId="71D520BE">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 xml:space="preserve"> </w:t>
            </w:r>
          </w:p>
        </w:tc>
        <w:tc>
          <w:tcPr>
            <w:tcW w:w="454" w:type="pct"/>
            <w:tcMar>
              <w:top w:w="0" w:type="dxa"/>
              <w:bottom w:w="0" w:type="dxa"/>
            </w:tcMar>
            <w:vAlign w:val="center"/>
          </w:tcPr>
          <w:p w14:paraId="5F40FF9E">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 xml:space="preserve"> </w:t>
            </w:r>
          </w:p>
        </w:tc>
      </w:tr>
      <w:tr w14:paraId="5EFD2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4" w:type="pct"/>
            <w:tcMar>
              <w:top w:w="0" w:type="dxa"/>
              <w:bottom w:w="0" w:type="dxa"/>
            </w:tcMar>
            <w:vAlign w:val="center"/>
          </w:tcPr>
          <w:p w14:paraId="71617449">
            <w:pPr>
              <w:spacing w:line="240" w:lineRule="auto"/>
              <w:jc w:val="center"/>
              <w:textAlignment w:val="center"/>
              <w:rPr>
                <w:rFonts w:ascii="宋体" w:hAnsi="宋体" w:eastAsia="宋体" w:cs="宋体"/>
                <w:b/>
                <w:i w:val="0"/>
                <w:color w:val="000000"/>
                <w:sz w:val="21"/>
              </w:rPr>
            </w:pPr>
            <w:r>
              <w:rPr>
                <w:rFonts w:ascii="宋体" w:hAnsi="宋体" w:eastAsia="宋体" w:cs="宋体"/>
                <w:b/>
                <w:i w:val="0"/>
                <w:color w:val="000000"/>
                <w:sz w:val="21"/>
              </w:rPr>
              <w:t>答案</w:t>
            </w:r>
          </w:p>
        </w:tc>
        <w:tc>
          <w:tcPr>
            <w:tcW w:w="454" w:type="pct"/>
            <w:tcMar>
              <w:top w:w="0" w:type="dxa"/>
              <w:bottom w:w="0" w:type="dxa"/>
            </w:tcMar>
            <w:vAlign w:val="center"/>
          </w:tcPr>
          <w:p w14:paraId="319895E9">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w:t>
            </w:r>
          </w:p>
        </w:tc>
        <w:tc>
          <w:tcPr>
            <w:tcW w:w="454" w:type="pct"/>
            <w:tcMar>
              <w:top w:w="0" w:type="dxa"/>
              <w:bottom w:w="0" w:type="dxa"/>
            </w:tcMar>
            <w:vAlign w:val="center"/>
          </w:tcPr>
          <w:p w14:paraId="3E4D93D8">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w:t>
            </w:r>
          </w:p>
        </w:tc>
        <w:tc>
          <w:tcPr>
            <w:tcW w:w="454" w:type="pct"/>
            <w:tcMar>
              <w:top w:w="0" w:type="dxa"/>
              <w:bottom w:w="0" w:type="dxa"/>
            </w:tcMar>
            <w:vAlign w:val="center"/>
          </w:tcPr>
          <w:p w14:paraId="49849B8D">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D</w:t>
            </w:r>
          </w:p>
        </w:tc>
        <w:tc>
          <w:tcPr>
            <w:tcW w:w="454" w:type="pct"/>
            <w:tcMar>
              <w:top w:w="0" w:type="dxa"/>
              <w:bottom w:w="0" w:type="dxa"/>
            </w:tcMar>
            <w:vAlign w:val="center"/>
          </w:tcPr>
          <w:p w14:paraId="5BF432DE">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C</w:t>
            </w:r>
          </w:p>
        </w:tc>
        <w:tc>
          <w:tcPr>
            <w:tcW w:w="454" w:type="pct"/>
            <w:tcMar>
              <w:top w:w="0" w:type="dxa"/>
              <w:bottom w:w="0" w:type="dxa"/>
            </w:tcMar>
            <w:vAlign w:val="center"/>
          </w:tcPr>
          <w:p w14:paraId="58C26EFC">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AC</w:t>
            </w:r>
          </w:p>
        </w:tc>
        <w:tc>
          <w:tcPr>
            <w:tcW w:w="454" w:type="pct"/>
            <w:tcMar>
              <w:top w:w="0" w:type="dxa"/>
              <w:bottom w:w="0" w:type="dxa"/>
            </w:tcMar>
            <w:vAlign w:val="center"/>
          </w:tcPr>
          <w:p w14:paraId="65FAB0CE">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BCD</w:t>
            </w:r>
          </w:p>
        </w:tc>
        <w:tc>
          <w:tcPr>
            <w:tcW w:w="454" w:type="pct"/>
            <w:tcMar>
              <w:top w:w="0" w:type="dxa"/>
              <w:bottom w:w="0" w:type="dxa"/>
            </w:tcMar>
            <w:vAlign w:val="center"/>
          </w:tcPr>
          <w:p w14:paraId="127D667D">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BD</w:t>
            </w:r>
          </w:p>
        </w:tc>
        <w:tc>
          <w:tcPr>
            <w:tcW w:w="454" w:type="pct"/>
            <w:tcMar>
              <w:top w:w="0" w:type="dxa"/>
              <w:bottom w:w="0" w:type="dxa"/>
            </w:tcMar>
            <w:vAlign w:val="center"/>
          </w:tcPr>
          <w:p w14:paraId="799620C4">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BCD</w:t>
            </w:r>
          </w:p>
        </w:tc>
        <w:tc>
          <w:tcPr>
            <w:tcW w:w="454" w:type="pct"/>
            <w:tcMar>
              <w:top w:w="0" w:type="dxa"/>
              <w:bottom w:w="0" w:type="dxa"/>
            </w:tcMar>
            <w:vAlign w:val="center"/>
          </w:tcPr>
          <w:p w14:paraId="301281A9">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 xml:space="preserve"> </w:t>
            </w:r>
          </w:p>
        </w:tc>
        <w:tc>
          <w:tcPr>
            <w:tcW w:w="454" w:type="pct"/>
            <w:tcMar>
              <w:top w:w="0" w:type="dxa"/>
              <w:bottom w:w="0" w:type="dxa"/>
            </w:tcMar>
            <w:vAlign w:val="center"/>
          </w:tcPr>
          <w:p w14:paraId="24FF574A">
            <w:pPr>
              <w:spacing w:line="240" w:lineRule="auto"/>
              <w:jc w:val="center"/>
              <w:textAlignment w:val="center"/>
              <w:rPr>
                <w:rFonts w:ascii="宋体" w:hAnsi="宋体" w:eastAsia="宋体" w:cs="宋体"/>
                <w:b w:val="0"/>
                <w:i w:val="0"/>
                <w:color w:val="000000"/>
                <w:sz w:val="21"/>
              </w:rPr>
            </w:pPr>
            <w:r>
              <w:rPr>
                <w:rFonts w:ascii="宋体" w:hAnsi="宋体" w:eastAsia="宋体" w:cs="宋体"/>
                <w:b w:val="0"/>
                <w:i w:val="0"/>
                <w:color w:val="000000"/>
                <w:sz w:val="21"/>
              </w:rPr>
              <w:t xml:space="preserve"> </w:t>
            </w:r>
          </w:p>
        </w:tc>
      </w:tr>
    </w:tbl>
    <w:p w14:paraId="3927F08A">
      <w:pPr>
        <w:spacing w:line="240" w:lineRule="auto"/>
        <w:jc w:val="center"/>
        <w:textAlignment w:val="center"/>
        <w:rPr>
          <w:rFonts w:ascii="宋体" w:hAnsi="宋体" w:eastAsia="宋体" w:cs="宋体"/>
          <w:b/>
          <w:i w:val="0"/>
          <w:color w:val="000000"/>
          <w:sz w:val="21"/>
        </w:rPr>
      </w:pPr>
    </w:p>
    <w:p w14:paraId="45A3B33A">
      <w:pPr>
        <w:shd w:val="clear" w:color="auto" w:fill="auto"/>
        <w:spacing w:line="240" w:lineRule="auto"/>
        <w:jc w:val="left"/>
        <w:textAlignment w:val="center"/>
        <w:rPr>
          <w:sz w:val="21"/>
        </w:rPr>
      </w:pPr>
      <w:r>
        <w:rPr>
          <w:sz w:val="21"/>
        </w:rPr>
        <w:t>1．D</w:t>
      </w:r>
    </w:p>
    <w:p w14:paraId="5D873AA4">
      <w:pPr>
        <w:shd w:val="clear" w:color="auto" w:fill="auto"/>
        <w:spacing w:line="240" w:lineRule="auto"/>
        <w:jc w:val="left"/>
        <w:textAlignment w:val="center"/>
        <w:rPr>
          <w:sz w:val="21"/>
        </w:rPr>
      </w:pPr>
      <w:r>
        <w:rPr>
          <w:sz w:val="21"/>
        </w:rPr>
        <w:t>【分析】大分子物质跨膜运输的方式是胞吞或胞吐，需要消耗能量，但不需要载体蛋白；膜融合的原理是膜的流动性。</w:t>
      </w:r>
    </w:p>
    <w:p w14:paraId="2A66141A">
      <w:pPr>
        <w:shd w:val="clear" w:color="auto" w:fill="auto"/>
        <w:spacing w:line="240" w:lineRule="auto"/>
        <w:jc w:val="left"/>
        <w:textAlignment w:val="center"/>
        <w:rPr>
          <w:sz w:val="21"/>
        </w:rPr>
      </w:pPr>
      <w:r>
        <w:rPr>
          <w:sz w:val="21"/>
        </w:rPr>
        <w:t>【详解】A、根据题意可知，经特殊处理而得到单层或双层的带DNA的脂质体小泡，其可被受体细胞内吞而实现基因转移，而细胞内吞的原理是膜的流动性，A正确；</w:t>
      </w:r>
    </w:p>
    <w:p w14:paraId="01AF60B4">
      <w:pPr>
        <w:shd w:val="clear" w:color="auto" w:fill="auto"/>
        <w:spacing w:line="240" w:lineRule="auto"/>
        <w:jc w:val="left"/>
        <w:textAlignment w:val="center"/>
        <w:rPr>
          <w:sz w:val="21"/>
        </w:rPr>
      </w:pPr>
      <w:r>
        <w:rPr>
          <w:sz w:val="21"/>
        </w:rPr>
        <w:t>B、脂质体可经过内吞进入多种细胞，故脂质体介导基因转移可适用于多种受体细胞，B正确；</w:t>
      </w:r>
    </w:p>
    <w:p w14:paraId="205CD2E3">
      <w:pPr>
        <w:shd w:val="clear" w:color="auto" w:fill="auto"/>
        <w:spacing w:line="240" w:lineRule="auto"/>
        <w:jc w:val="left"/>
        <w:textAlignment w:val="center"/>
        <w:rPr>
          <w:sz w:val="21"/>
        </w:rPr>
      </w:pPr>
      <w:r>
        <w:rPr>
          <w:sz w:val="21"/>
        </w:rPr>
        <w:t>C、转移前对植物受体细胞去壁有利于脂质体小泡与植物细胞膜的融合，可提高转移效率，C正确；</w:t>
      </w:r>
    </w:p>
    <w:p w14:paraId="3B47A379">
      <w:pPr>
        <w:shd w:val="clear" w:color="auto" w:fill="auto"/>
        <w:spacing w:line="240" w:lineRule="auto"/>
        <w:jc w:val="left"/>
        <w:textAlignment w:val="center"/>
        <w:rPr>
          <w:sz w:val="21"/>
        </w:rPr>
      </w:pPr>
      <w:r>
        <w:rPr>
          <w:sz w:val="21"/>
        </w:rPr>
        <w:t>D、根据题意可知，该脂质体的表面不含糖蛋白，因此动物不会对导入的脂质体小泡会产生免疫反应，D错误。</w:t>
      </w:r>
    </w:p>
    <w:p w14:paraId="308E8ED6">
      <w:pPr>
        <w:shd w:val="clear" w:color="auto" w:fill="auto"/>
        <w:spacing w:line="240" w:lineRule="auto"/>
        <w:jc w:val="left"/>
        <w:textAlignment w:val="center"/>
        <w:rPr>
          <w:sz w:val="21"/>
        </w:rPr>
      </w:pPr>
      <w:r>
        <w:rPr>
          <w:sz w:val="21"/>
        </w:rPr>
        <w:t>故选D。</w:t>
      </w:r>
    </w:p>
    <w:p w14:paraId="3B750F3E">
      <w:pPr>
        <w:shd w:val="clear" w:color="auto" w:fill="auto"/>
        <w:spacing w:line="240" w:lineRule="auto"/>
        <w:jc w:val="left"/>
        <w:textAlignment w:val="center"/>
        <w:rPr>
          <w:sz w:val="21"/>
        </w:rPr>
      </w:pPr>
      <w:r>
        <w:rPr>
          <w:sz w:val="21"/>
        </w:rPr>
        <w:t>2．A</w:t>
      </w:r>
    </w:p>
    <w:p w14:paraId="686758E8">
      <w:pPr>
        <w:shd w:val="clear" w:color="auto" w:fill="auto"/>
        <w:spacing w:line="240" w:lineRule="auto"/>
        <w:jc w:val="left"/>
        <w:textAlignment w:val="center"/>
        <w:rPr>
          <w:sz w:val="21"/>
        </w:rPr>
      </w:pPr>
      <w:r>
        <w:rPr>
          <w:sz w:val="21"/>
        </w:rPr>
        <w:t>【分析】观察根尖分生组织细胞有丝分裂的实验，其操作流程是：根尖培养→制作临时装片(解离→漂洗→染色→制片) →观察（先低倍镜观察：找到分生区细胞，后高倍镜观察：找出各时期细胞）→记录各时期的细胞数目并绘图。</w:t>
      </w:r>
    </w:p>
    <w:p w14:paraId="46F6DBD8">
      <w:pPr>
        <w:shd w:val="clear" w:color="auto" w:fill="auto"/>
        <w:spacing w:line="240" w:lineRule="auto"/>
        <w:jc w:val="left"/>
        <w:textAlignment w:val="center"/>
        <w:rPr>
          <w:sz w:val="21"/>
        </w:rPr>
      </w:pPr>
      <w:r>
        <w:rPr>
          <w:sz w:val="21"/>
        </w:rPr>
        <w:t>【详解】①植物细胞间有果胶质层黏连，解离的目的是使组织细胞彼此分离开来，①正确；</w:t>
      </w:r>
    </w:p>
    <w:p w14:paraId="6A53F0CA">
      <w:pPr>
        <w:shd w:val="clear" w:color="auto" w:fill="auto"/>
        <w:spacing w:line="240" w:lineRule="auto"/>
        <w:jc w:val="left"/>
        <w:textAlignment w:val="center"/>
        <w:rPr>
          <w:sz w:val="21"/>
        </w:rPr>
      </w:pPr>
      <w:r>
        <w:rPr>
          <w:sz w:val="21"/>
        </w:rPr>
        <w:t>②制片之前需要通过漂洗洗去解离液，再用碱性染料，用吸水纸吸去多余的染料，便于显微镜下观察，②错误；</w:t>
      </w:r>
    </w:p>
    <w:p w14:paraId="37CD0334">
      <w:pPr>
        <w:shd w:val="clear" w:color="auto" w:fill="auto"/>
        <w:spacing w:line="240" w:lineRule="auto"/>
        <w:jc w:val="left"/>
        <w:textAlignment w:val="center"/>
        <w:rPr>
          <w:sz w:val="21"/>
        </w:rPr>
      </w:pPr>
      <w:r>
        <w:rPr>
          <w:sz w:val="21"/>
        </w:rPr>
        <w:t>③压片是为了进一步将根尖细胞分散开，使之不互相重叠影响观察，③正确；</w:t>
      </w:r>
    </w:p>
    <w:p w14:paraId="687E7AC2">
      <w:pPr>
        <w:shd w:val="clear" w:color="auto" w:fill="auto"/>
        <w:spacing w:line="240" w:lineRule="auto"/>
        <w:jc w:val="left"/>
        <w:textAlignment w:val="center"/>
        <w:rPr>
          <w:sz w:val="21"/>
        </w:rPr>
      </w:pPr>
      <w:r>
        <w:rPr>
          <w:sz w:val="21"/>
        </w:rPr>
        <w:t>④间期的时间远远大于分裂期，视野中处于间期的细胞数量最多，④错误。</w:t>
      </w:r>
    </w:p>
    <w:p w14:paraId="275374CC">
      <w:pPr>
        <w:shd w:val="clear" w:color="auto" w:fill="auto"/>
        <w:spacing w:line="240" w:lineRule="auto"/>
        <w:jc w:val="left"/>
        <w:textAlignment w:val="center"/>
        <w:rPr>
          <w:sz w:val="21"/>
        </w:rPr>
      </w:pPr>
      <w:r>
        <w:rPr>
          <w:sz w:val="21"/>
        </w:rPr>
        <w:t>综上所述，①③正确。A正确，BCD错误。</w:t>
      </w:r>
    </w:p>
    <w:p w14:paraId="43436E14">
      <w:pPr>
        <w:shd w:val="clear" w:color="auto" w:fill="auto"/>
        <w:spacing w:line="240" w:lineRule="auto"/>
        <w:jc w:val="left"/>
        <w:textAlignment w:val="center"/>
        <w:rPr>
          <w:sz w:val="21"/>
        </w:rPr>
      </w:pPr>
      <w:r>
        <w:rPr>
          <w:sz w:val="21"/>
        </w:rPr>
        <w:t>故选A。</w:t>
      </w:r>
    </w:p>
    <w:p w14:paraId="1817D890">
      <w:pPr>
        <w:shd w:val="clear" w:color="auto" w:fill="auto"/>
        <w:spacing w:line="240" w:lineRule="auto"/>
        <w:jc w:val="left"/>
        <w:textAlignment w:val="center"/>
        <w:rPr>
          <w:sz w:val="21"/>
        </w:rPr>
      </w:pPr>
      <w:r>
        <w:rPr>
          <w:sz w:val="21"/>
        </w:rPr>
        <w:t>3．C</w:t>
      </w:r>
    </w:p>
    <w:p w14:paraId="3599EE3A">
      <w:pPr>
        <w:shd w:val="clear" w:color="auto" w:fill="auto"/>
        <w:spacing w:line="240" w:lineRule="auto"/>
        <w:jc w:val="left"/>
        <w:textAlignment w:val="center"/>
        <w:rPr>
          <w:sz w:val="21"/>
        </w:rPr>
      </w:pPr>
      <w:r>
        <w:rPr>
          <w:sz w:val="21"/>
        </w:rPr>
        <w:t>【分析】由图可知，不同的淀粉酶的最适pH不同；在不同的处理下β-淀粉酶在50℃条件下处理一段时间后酶活性有所不同。</w:t>
      </w:r>
    </w:p>
    <w:p w14:paraId="217E4070">
      <w:pPr>
        <w:shd w:val="clear" w:color="auto" w:fill="auto"/>
        <w:spacing w:line="240" w:lineRule="auto"/>
        <w:jc w:val="left"/>
        <w:textAlignment w:val="center"/>
        <w:rPr>
          <w:sz w:val="21"/>
        </w:rPr>
      </w:pPr>
      <w:r>
        <w:rPr>
          <w:sz w:val="21"/>
        </w:rPr>
        <w:t>【详解】A、α-淀粉酶可使淀粉内部随机水解，水解淀粉的最终产物中有葡萄糖，β-淀粉酶从末端以两个单糖为单位进行水解淀粉，故其水解淀粉的主要产物为麦芽糖，A正确；</w:t>
      </w:r>
    </w:p>
    <w:p w14:paraId="0D57E5CE">
      <w:pPr>
        <w:shd w:val="clear" w:color="auto" w:fill="auto"/>
        <w:spacing w:line="240" w:lineRule="auto"/>
        <w:jc w:val="left"/>
        <w:textAlignment w:val="center"/>
        <w:rPr>
          <w:sz w:val="21"/>
        </w:rPr>
      </w:pPr>
      <w:r>
        <w:rPr>
          <w:sz w:val="21"/>
        </w:rPr>
        <w:t>B、β-淀粉酶在 50℃条件下处理 1h 后，酶活性变为0，很可能是酶的空间结构遭到破坏，B正确；</w:t>
      </w:r>
    </w:p>
    <w:p w14:paraId="0DA6EE02">
      <w:pPr>
        <w:shd w:val="clear" w:color="auto" w:fill="auto"/>
        <w:spacing w:line="240" w:lineRule="auto"/>
        <w:jc w:val="left"/>
        <w:textAlignment w:val="center"/>
        <w:rPr>
          <w:sz w:val="21"/>
        </w:rPr>
      </w:pPr>
      <w:r>
        <w:rPr>
          <w:sz w:val="21"/>
        </w:rPr>
        <w:t>C、由图2可知，β-淀粉酶的最适pH值低于α-淀粉酶，两种淀粉酶在胃液（pH为1.5左右）中会失活，C错误；</w:t>
      </w:r>
    </w:p>
    <w:p w14:paraId="67150970">
      <w:pPr>
        <w:shd w:val="clear" w:color="auto" w:fill="auto"/>
        <w:spacing w:line="240" w:lineRule="auto"/>
        <w:jc w:val="left"/>
        <w:textAlignment w:val="center"/>
        <w:rPr>
          <w:sz w:val="21"/>
        </w:rPr>
      </w:pPr>
      <w:r>
        <w:rPr>
          <w:sz w:val="21"/>
        </w:rPr>
        <w:t>D、由图1可知，Ca</w:t>
      </w:r>
      <w:r>
        <w:rPr>
          <w:sz w:val="21"/>
          <w:vertAlign w:val="superscript"/>
        </w:rPr>
        <w:t>2+</w:t>
      </w:r>
      <w:r>
        <w:rPr>
          <w:sz w:val="21"/>
        </w:rPr>
        <w:t>、淀粉与淀粉酶共存时，β-淀粉酶的热稳定性维持的时间更长，说明Ca</w:t>
      </w:r>
      <w:r>
        <w:rPr>
          <w:sz w:val="21"/>
          <w:vertAlign w:val="superscript"/>
        </w:rPr>
        <w:t>2+</w:t>
      </w:r>
      <w:r>
        <w:rPr>
          <w:sz w:val="21"/>
        </w:rPr>
        <w:t>、淀粉与淀粉酶共存时，更有利于较长时间维持β-淀粉酶的热稳定性，D正确。</w:t>
      </w:r>
    </w:p>
    <w:p w14:paraId="7CA007E8">
      <w:pPr>
        <w:shd w:val="clear" w:color="auto" w:fill="auto"/>
        <w:spacing w:line="240" w:lineRule="auto"/>
        <w:jc w:val="left"/>
        <w:textAlignment w:val="center"/>
        <w:rPr>
          <w:sz w:val="21"/>
        </w:rPr>
      </w:pPr>
      <w:r>
        <w:rPr>
          <w:sz w:val="21"/>
        </w:rPr>
        <w:t>故选C。</w:t>
      </w:r>
    </w:p>
    <w:p w14:paraId="0E9FA576">
      <w:pPr>
        <w:shd w:val="clear" w:color="auto" w:fill="auto"/>
        <w:spacing w:line="240" w:lineRule="auto"/>
        <w:jc w:val="left"/>
        <w:textAlignment w:val="center"/>
        <w:rPr>
          <w:sz w:val="21"/>
        </w:rPr>
      </w:pPr>
      <w:r>
        <w:rPr>
          <w:sz w:val="21"/>
        </w:rPr>
        <w:t>4．C</w:t>
      </w:r>
    </w:p>
    <w:p w14:paraId="71193E28">
      <w:pPr>
        <w:shd w:val="clear" w:color="auto" w:fill="auto"/>
        <w:spacing w:line="240" w:lineRule="auto"/>
        <w:jc w:val="left"/>
        <w:textAlignment w:val="center"/>
        <w:rPr>
          <w:sz w:val="21"/>
        </w:rPr>
      </w:pPr>
      <w:r>
        <w:rPr>
          <w:sz w:val="21"/>
        </w:rPr>
        <w:t>【分析】科学家通过追踪示踪元素标记的化合物，可以弄清化学反应的详细过程。这种科学研究方法叫做同位素标记法。同位素标记法也叫同位素示踪法。</w:t>
      </w:r>
    </w:p>
    <w:p w14:paraId="7013DB84">
      <w:pPr>
        <w:shd w:val="clear" w:color="auto" w:fill="auto"/>
        <w:spacing w:line="240" w:lineRule="auto"/>
        <w:jc w:val="left"/>
        <w:textAlignment w:val="center"/>
        <w:rPr>
          <w:sz w:val="21"/>
        </w:rPr>
      </w:pPr>
      <w:r>
        <w:rPr>
          <w:sz w:val="21"/>
        </w:rPr>
        <w:t>【详解】A、给水稻提供</w:t>
      </w:r>
      <w:r>
        <w:rPr>
          <w:sz w:val="21"/>
          <w:vertAlign w:val="superscript"/>
        </w:rPr>
        <w:t>14</w:t>
      </w:r>
      <w:r>
        <w:rPr>
          <w:sz w:val="21"/>
        </w:rPr>
        <w:t>CO</w:t>
      </w:r>
      <w:r>
        <w:rPr>
          <w:sz w:val="21"/>
          <w:vertAlign w:val="subscript"/>
        </w:rPr>
        <w:t>2</w:t>
      </w:r>
      <w:r>
        <w:rPr>
          <w:sz w:val="21"/>
        </w:rPr>
        <w:t>，</w:t>
      </w:r>
      <w:r>
        <w:rPr>
          <w:sz w:val="21"/>
          <w:vertAlign w:val="superscript"/>
        </w:rPr>
        <w:t>14</w:t>
      </w:r>
      <w:r>
        <w:rPr>
          <w:sz w:val="21"/>
        </w:rPr>
        <w:t>C会通过光合作用进入有机物中，根细胞在缺氧环境会通过无氧呼吸产生</w:t>
      </w:r>
      <w:r>
        <w:rPr>
          <w:sz w:val="21"/>
          <w:vertAlign w:val="superscript"/>
        </w:rPr>
        <w:t>14</w:t>
      </w:r>
      <w:r>
        <w:rPr>
          <w:sz w:val="21"/>
        </w:rPr>
        <w:t>C</w:t>
      </w:r>
      <w:r>
        <w:rPr>
          <w:sz w:val="21"/>
          <w:vertAlign w:val="subscript"/>
        </w:rPr>
        <w:t>2</w:t>
      </w:r>
      <w:r>
        <w:rPr>
          <w:sz w:val="21"/>
        </w:rPr>
        <w:t>H</w:t>
      </w:r>
      <w:r>
        <w:rPr>
          <w:sz w:val="21"/>
          <w:vertAlign w:val="subscript"/>
        </w:rPr>
        <w:t>5</w:t>
      </w:r>
      <w:r>
        <w:rPr>
          <w:sz w:val="21"/>
        </w:rPr>
        <w:t>OH，A正确；</w:t>
      </w:r>
    </w:p>
    <w:p w14:paraId="51A99A14">
      <w:pPr>
        <w:shd w:val="clear" w:color="auto" w:fill="auto"/>
        <w:spacing w:line="240" w:lineRule="auto"/>
        <w:jc w:val="left"/>
        <w:textAlignment w:val="center"/>
        <w:rPr>
          <w:sz w:val="21"/>
        </w:rPr>
      </w:pPr>
      <w:r>
        <w:rPr>
          <w:sz w:val="21"/>
        </w:rPr>
        <w:t>B、给小麦提供</w:t>
      </w:r>
      <w:r>
        <w:rPr>
          <w:sz w:val="21"/>
          <w:vertAlign w:val="superscript"/>
        </w:rPr>
        <w:t>14</w:t>
      </w:r>
      <w:r>
        <w:rPr>
          <w:sz w:val="21"/>
        </w:rPr>
        <w:t>CO</w:t>
      </w:r>
      <w:r>
        <w:rPr>
          <w:sz w:val="21"/>
          <w:vertAlign w:val="subscript"/>
        </w:rPr>
        <w:t>2</w:t>
      </w:r>
      <w:r>
        <w:rPr>
          <w:sz w:val="21"/>
        </w:rPr>
        <w:t>，其会参与光合作用的暗反应阶段，故</w:t>
      </w:r>
      <w:r>
        <w:rPr>
          <w:sz w:val="21"/>
          <w:vertAlign w:val="superscript"/>
        </w:rPr>
        <w:t>14</w:t>
      </w:r>
      <w:r>
        <w:rPr>
          <w:sz w:val="21"/>
        </w:rPr>
        <w:t>C的转移途径是：</w:t>
      </w:r>
      <w:r>
        <w:rPr>
          <w:sz w:val="21"/>
          <w:vertAlign w:val="superscript"/>
        </w:rPr>
        <w:t>14</w:t>
      </w:r>
      <w:r>
        <w:rPr>
          <w:sz w:val="21"/>
        </w:rPr>
        <w:t>CO</w:t>
      </w:r>
      <w:r>
        <w:rPr>
          <w:sz w:val="21"/>
          <w:vertAlign w:val="subscript"/>
        </w:rPr>
        <w:t>2</w:t>
      </w:r>
      <w:r>
        <w:rPr>
          <w:sz w:val="21"/>
        </w:rPr>
        <w:t>→</w:t>
      </w:r>
      <w:r>
        <w:rPr>
          <w:sz w:val="21"/>
          <w:vertAlign w:val="superscript"/>
        </w:rPr>
        <w:t>14</w:t>
      </w:r>
      <w:r>
        <w:rPr>
          <w:sz w:val="21"/>
        </w:rPr>
        <w:t>C</w:t>
      </w:r>
      <w:r>
        <w:rPr>
          <w:sz w:val="21"/>
          <w:vertAlign w:val="subscript"/>
        </w:rPr>
        <w:t>3</w:t>
      </w:r>
      <w:r>
        <w:rPr>
          <w:sz w:val="21"/>
        </w:rPr>
        <w:t>→(</w:t>
      </w:r>
      <w:r>
        <w:rPr>
          <w:sz w:val="21"/>
          <w:vertAlign w:val="superscript"/>
        </w:rPr>
        <w:t>14</w:t>
      </w:r>
      <w:r>
        <w:rPr>
          <w:sz w:val="21"/>
        </w:rPr>
        <w:t>CH</w:t>
      </w:r>
      <w:r>
        <w:rPr>
          <w:sz w:val="21"/>
          <w:vertAlign w:val="subscript"/>
        </w:rPr>
        <w:t>2</w:t>
      </w:r>
      <w:r>
        <w:rPr>
          <w:sz w:val="21"/>
        </w:rPr>
        <w:t>O)，B正确；</w:t>
      </w:r>
    </w:p>
    <w:p w14:paraId="2044F3A3">
      <w:pPr>
        <w:shd w:val="clear" w:color="auto" w:fill="auto"/>
        <w:spacing w:line="240" w:lineRule="auto"/>
        <w:jc w:val="left"/>
        <w:textAlignment w:val="center"/>
        <w:rPr>
          <w:sz w:val="21"/>
        </w:rPr>
      </w:pPr>
      <w:r>
        <w:rPr>
          <w:sz w:val="21"/>
        </w:rPr>
        <w:t>C、用</w:t>
      </w:r>
      <w:r>
        <w:rPr>
          <w:sz w:val="21"/>
          <w:vertAlign w:val="superscript"/>
        </w:rPr>
        <w:t>3</w:t>
      </w:r>
      <w:r>
        <w:rPr>
          <w:sz w:val="21"/>
        </w:rPr>
        <w:t>H标记丙氨酸，内质网上核糖体和游离核糖体均会出现放射性，C错误；</w:t>
      </w:r>
    </w:p>
    <w:p w14:paraId="7386FB01">
      <w:pPr>
        <w:shd w:val="clear" w:color="auto" w:fill="auto"/>
        <w:spacing w:line="240" w:lineRule="auto"/>
        <w:jc w:val="left"/>
        <w:textAlignment w:val="center"/>
        <w:rPr>
          <w:sz w:val="21"/>
        </w:rPr>
      </w:pPr>
      <w:r>
        <w:rPr>
          <w:sz w:val="21"/>
        </w:rPr>
        <w:t>D、小白鼠吸入</w:t>
      </w:r>
      <w:r>
        <w:rPr>
          <w:sz w:val="21"/>
          <w:vertAlign w:val="superscript"/>
        </w:rPr>
        <w:t>18</w:t>
      </w:r>
      <w:r>
        <w:rPr>
          <w:sz w:val="21"/>
        </w:rPr>
        <w:t>O</w:t>
      </w:r>
      <w:r>
        <w:rPr>
          <w:sz w:val="21"/>
          <w:vertAlign w:val="subscript"/>
        </w:rPr>
        <w:t>2</w:t>
      </w:r>
      <w:r>
        <w:rPr>
          <w:sz w:val="21"/>
        </w:rPr>
        <w:t>，氧气会通过有氧呼吸的第三阶段进入水中，含</w:t>
      </w:r>
      <w:r>
        <w:rPr>
          <w:sz w:val="21"/>
          <w:vertAlign w:val="superscript"/>
        </w:rPr>
        <w:t>18</w:t>
      </w:r>
      <w:r>
        <w:rPr>
          <w:sz w:val="21"/>
        </w:rPr>
        <w:t>O的水参与有氧呼吸的第二阶段，</w:t>
      </w:r>
      <w:r>
        <w:rPr>
          <w:sz w:val="21"/>
          <w:vertAlign w:val="superscript"/>
        </w:rPr>
        <w:t>18</w:t>
      </w:r>
      <w:r>
        <w:rPr>
          <w:sz w:val="21"/>
        </w:rPr>
        <w:t>O会进入二氧化碳中，故在尿液、呼出的二氧化碳中有可能分别检测到含有H</w:t>
      </w:r>
      <w:r>
        <w:rPr>
          <w:sz w:val="21"/>
          <w:vertAlign w:val="subscript"/>
        </w:rPr>
        <w:t>2</w:t>
      </w:r>
      <w:r>
        <w:rPr>
          <w:sz w:val="21"/>
          <w:vertAlign w:val="superscript"/>
        </w:rPr>
        <w:t>18</w:t>
      </w:r>
      <w:r>
        <w:rPr>
          <w:sz w:val="21"/>
        </w:rPr>
        <w:t>O、C</w:t>
      </w:r>
      <w:r>
        <w:rPr>
          <w:sz w:val="21"/>
          <w:vertAlign w:val="superscript"/>
        </w:rPr>
        <w:t>18</w:t>
      </w:r>
      <w:r>
        <w:rPr>
          <w:sz w:val="21"/>
        </w:rPr>
        <w:t>O</w:t>
      </w:r>
      <w:r>
        <w:rPr>
          <w:sz w:val="21"/>
          <w:vertAlign w:val="subscript"/>
        </w:rPr>
        <w:t>2</w:t>
      </w:r>
      <w:r>
        <w:rPr>
          <w:sz w:val="21"/>
        </w:rPr>
        <w:t>，D正确。</w:t>
      </w:r>
    </w:p>
    <w:p w14:paraId="6E4CA6DE">
      <w:pPr>
        <w:shd w:val="clear" w:color="auto" w:fill="auto"/>
        <w:spacing w:line="240" w:lineRule="auto"/>
        <w:jc w:val="left"/>
        <w:textAlignment w:val="center"/>
        <w:rPr>
          <w:sz w:val="21"/>
        </w:rPr>
      </w:pPr>
      <w:r>
        <w:rPr>
          <w:sz w:val="21"/>
        </w:rPr>
        <w:t>故选C。</w:t>
      </w:r>
    </w:p>
    <w:p w14:paraId="59BC6DBA">
      <w:pPr>
        <w:shd w:val="clear" w:color="auto" w:fill="auto"/>
        <w:spacing w:line="240" w:lineRule="auto"/>
        <w:jc w:val="left"/>
        <w:textAlignment w:val="center"/>
        <w:rPr>
          <w:sz w:val="21"/>
        </w:rPr>
      </w:pPr>
      <w:r>
        <w:rPr>
          <w:sz w:val="21"/>
        </w:rPr>
        <w:t>5．C</w:t>
      </w:r>
    </w:p>
    <w:p w14:paraId="43D95F4E">
      <w:pPr>
        <w:shd w:val="clear" w:color="auto" w:fill="auto"/>
        <w:spacing w:line="240" w:lineRule="auto"/>
        <w:jc w:val="left"/>
        <w:textAlignment w:val="center"/>
        <w:rPr>
          <w:sz w:val="21"/>
        </w:rPr>
      </w:pPr>
      <w:r>
        <w:rPr>
          <w:sz w:val="21"/>
        </w:rPr>
        <w:t>【分析】胱天蛋白酶是促进细胞凋亡的关键蛋白，D1蛋白是调控细胞由间期进入分裂期的关键蛋白，胰岛素样生长因子（IGF）是PI3K/AKT通路的激活剂。</w:t>
      </w:r>
    </w:p>
    <w:p w14:paraId="65386D6E">
      <w:pPr>
        <w:shd w:val="clear" w:color="auto" w:fill="auto"/>
        <w:spacing w:line="240" w:lineRule="auto"/>
        <w:jc w:val="left"/>
        <w:textAlignment w:val="center"/>
        <w:rPr>
          <w:sz w:val="21"/>
        </w:rPr>
      </w:pPr>
      <w:r>
        <w:rPr>
          <w:sz w:val="21"/>
        </w:rPr>
        <w:t>细胞凋亡是由基因决定的细胞编程序死亡的过程。细胞凋亡是生物体正常的生命历程，对生物体是有利的，而且细胞凋亡贯穿于整个生命历程。</w:t>
      </w:r>
    </w:p>
    <w:p w14:paraId="0C28BA64">
      <w:pPr>
        <w:shd w:val="clear" w:color="auto" w:fill="auto"/>
        <w:spacing w:line="240" w:lineRule="auto"/>
        <w:jc w:val="left"/>
        <w:textAlignment w:val="center"/>
        <w:rPr>
          <w:sz w:val="21"/>
        </w:rPr>
      </w:pPr>
      <w:r>
        <w:rPr>
          <w:sz w:val="21"/>
        </w:rPr>
        <w:t>【详解】A、条带1是胱天蛋白酶的含量，与对照组相比，紫草素处理食道癌细胞，紫草素的浓度越高胱天蛋白酶的表达量越高，胱天蛋白酶是促进细胞凋亡的关键蛋白，故条带1说明紫草素能促进细胞凋亡，且细胞凋亡率与紫草素浓度有关，A正确；</w:t>
      </w:r>
    </w:p>
    <w:p w14:paraId="3A2153C3">
      <w:pPr>
        <w:shd w:val="clear" w:color="auto" w:fill="auto"/>
        <w:spacing w:line="240" w:lineRule="auto"/>
        <w:jc w:val="left"/>
        <w:textAlignment w:val="center"/>
        <w:rPr>
          <w:sz w:val="21"/>
        </w:rPr>
      </w:pPr>
      <w:r>
        <w:rPr>
          <w:sz w:val="21"/>
        </w:rPr>
        <w:t>B、条带2是D1蛋白，D1蛋白是调控细胞由间期进入分裂期的关键蛋白，与对照组相比，紫草素处理食道癌细胞，D1蛋白的表达量降低，说明紫草素可能是通过抑制DNA复制而阻滞细胞增殖，B正确；</w:t>
      </w:r>
    </w:p>
    <w:p w14:paraId="020D4F3D">
      <w:pPr>
        <w:shd w:val="clear" w:color="auto" w:fill="auto"/>
        <w:spacing w:line="240" w:lineRule="auto"/>
        <w:jc w:val="left"/>
        <w:textAlignment w:val="center"/>
        <w:rPr>
          <w:sz w:val="21"/>
        </w:rPr>
      </w:pPr>
      <w:r>
        <w:rPr>
          <w:sz w:val="21"/>
        </w:rPr>
        <w:t>C、由图可知，使用紫草素后，PI3K和AKT蛋白表达量下降，说明PI3K和AKT蛋白能促进癌细胞增殖抑制癌细胞凋亡，故提高PI3K和AKT蛋白表达量有利于促进细胞增殖和抑制细胞凋亡，C错误；</w:t>
      </w:r>
    </w:p>
    <w:p w14:paraId="0135DFB9">
      <w:pPr>
        <w:shd w:val="clear" w:color="auto" w:fill="auto"/>
        <w:spacing w:line="240" w:lineRule="auto"/>
        <w:jc w:val="left"/>
        <w:textAlignment w:val="center"/>
        <w:rPr>
          <w:sz w:val="21"/>
        </w:rPr>
      </w:pPr>
      <w:r>
        <w:rPr>
          <w:sz w:val="21"/>
        </w:rPr>
        <w:t>D、由图可知，紫草素能通过调节某些蛋白的表达量来促进食道癌细胞凋亡及细胞周期阻滞的作用，有望作为治疗食道癌的药物，D正确。</w:t>
      </w:r>
    </w:p>
    <w:p w14:paraId="2D1C8C6B">
      <w:pPr>
        <w:shd w:val="clear" w:color="auto" w:fill="auto"/>
        <w:spacing w:line="240" w:lineRule="auto"/>
        <w:jc w:val="left"/>
        <w:textAlignment w:val="center"/>
        <w:rPr>
          <w:sz w:val="21"/>
        </w:rPr>
      </w:pPr>
      <w:r>
        <w:rPr>
          <w:sz w:val="21"/>
        </w:rPr>
        <w:t>故选C。</w:t>
      </w:r>
    </w:p>
    <w:p w14:paraId="0C093A10">
      <w:pPr>
        <w:shd w:val="clear" w:color="auto" w:fill="auto"/>
        <w:spacing w:line="240" w:lineRule="auto"/>
        <w:jc w:val="left"/>
        <w:textAlignment w:val="center"/>
        <w:rPr>
          <w:sz w:val="21"/>
        </w:rPr>
      </w:pPr>
      <w:r>
        <w:rPr>
          <w:sz w:val="21"/>
        </w:rPr>
        <w:t>6．C</w:t>
      </w:r>
    </w:p>
    <w:p w14:paraId="76C17A5A">
      <w:pPr>
        <w:shd w:val="clear" w:color="auto" w:fill="auto"/>
        <w:spacing w:line="240" w:lineRule="auto"/>
        <w:jc w:val="left"/>
        <w:textAlignment w:val="center"/>
        <w:rPr>
          <w:sz w:val="21"/>
        </w:rPr>
      </w:pPr>
      <w:r>
        <w:rPr>
          <w:sz w:val="21"/>
        </w:rPr>
        <w:t>【分析】根据系谱中“无中生有”可判断致病基因的显隐性，根据伴性遗传特点可推测是否符合伴性遗传。</w:t>
      </w:r>
    </w:p>
    <w:p w14:paraId="3293C403">
      <w:pPr>
        <w:shd w:val="clear" w:color="auto" w:fill="auto"/>
        <w:spacing w:line="240" w:lineRule="auto"/>
        <w:jc w:val="left"/>
        <w:textAlignment w:val="center"/>
        <w:rPr>
          <w:sz w:val="21"/>
        </w:rPr>
      </w:pPr>
      <w:r>
        <w:rPr>
          <w:sz w:val="21"/>
        </w:rPr>
        <w:t>【详解】A、据图分析，III</w:t>
      </w:r>
      <w:r>
        <w:rPr>
          <w:sz w:val="21"/>
          <w:vertAlign w:val="subscript"/>
        </w:rPr>
        <w:t>9</w:t>
      </w:r>
      <w:r>
        <w:rPr>
          <w:sz w:val="21"/>
        </w:rPr>
        <w:t>和III</w:t>
      </w:r>
      <w:r>
        <w:rPr>
          <w:sz w:val="21"/>
          <w:vertAlign w:val="subscript"/>
        </w:rPr>
        <w:t>10</w:t>
      </w:r>
      <w:r>
        <w:rPr>
          <w:sz w:val="21"/>
        </w:rPr>
        <w:t>正常，但其子代IV</w:t>
      </w:r>
      <w:r>
        <w:rPr>
          <w:sz w:val="21"/>
          <w:vertAlign w:val="subscript"/>
        </w:rPr>
        <w:t>16</w:t>
      </w:r>
      <w:r>
        <w:rPr>
          <w:sz w:val="21"/>
        </w:rPr>
        <w:t>患有神经性耳聋，说明该病为常染色体隐性遗传病；Ⅳ</w:t>
      </w:r>
      <w:r>
        <w:rPr>
          <w:sz w:val="21"/>
          <w:vertAlign w:val="subscript"/>
        </w:rPr>
        <w:t>21</w:t>
      </w:r>
      <w:r>
        <w:rPr>
          <w:sz w:val="21"/>
        </w:rPr>
        <w:t>不携带致病基因，IV</w:t>
      </w:r>
      <w:r>
        <w:rPr>
          <w:sz w:val="21"/>
          <w:vertAlign w:val="subscript"/>
        </w:rPr>
        <w:t>20</w:t>
      </w:r>
      <w:r>
        <w:rPr>
          <w:sz w:val="21"/>
        </w:rPr>
        <w:t>患有腓骨肌萎缩症，其子代V</w:t>
      </w:r>
      <w:r>
        <w:rPr>
          <w:sz w:val="21"/>
          <w:vertAlign w:val="subscript"/>
        </w:rPr>
        <w:t>23</w:t>
      </w:r>
      <w:r>
        <w:rPr>
          <w:sz w:val="21"/>
        </w:rPr>
        <w:t>患病，推测该病为显性遗传病，由图二知12号个体为纯合子，假若该病为常染色体遗传，则12号基因型为DD，两个D一个来自5号一个来自6号，由于是显性遗传，父母应该都患病，与事实不符，因此12号个体只含一个D，来自母亲5号，该病为伴X遗传，A 错误；</w:t>
      </w:r>
    </w:p>
    <w:p w14:paraId="7FBA00DC">
      <w:pPr>
        <w:shd w:val="clear" w:color="auto" w:fill="auto"/>
        <w:spacing w:line="240" w:lineRule="auto"/>
        <w:jc w:val="left"/>
        <w:textAlignment w:val="center"/>
        <w:rPr>
          <w:sz w:val="21"/>
        </w:rPr>
      </w:pPr>
      <w:r>
        <w:rPr>
          <w:sz w:val="21"/>
        </w:rPr>
        <w:t>B、Ⅳ</w:t>
      </w:r>
      <w:r>
        <w:rPr>
          <w:sz w:val="21"/>
          <w:vertAlign w:val="subscript"/>
        </w:rPr>
        <w:t>19</w:t>
      </w:r>
      <w:r>
        <w:rPr>
          <w:sz w:val="21"/>
        </w:rPr>
        <w:t>患神经性耳聋，相关基因型为bb，其致病基因来自Ⅲ</w:t>
      </w:r>
      <w:r>
        <w:rPr>
          <w:sz w:val="21"/>
          <w:vertAlign w:val="subscript"/>
        </w:rPr>
        <w:t>9</w:t>
      </w:r>
      <w:r>
        <w:rPr>
          <w:sz w:val="21"/>
        </w:rPr>
        <w:t>和Ⅲ</w:t>
      </w:r>
      <w:r>
        <w:rPr>
          <w:sz w:val="21"/>
          <w:vertAlign w:val="subscript"/>
        </w:rPr>
        <w:t>10</w:t>
      </w:r>
      <w:r>
        <w:rPr>
          <w:sz w:val="21"/>
        </w:rPr>
        <w:t>各一个，所以也会来自于Ⅱ</w:t>
      </w:r>
      <w:r>
        <w:rPr>
          <w:sz w:val="21"/>
          <w:vertAlign w:val="subscript"/>
        </w:rPr>
        <w:t>3</w:t>
      </w:r>
      <w:r>
        <w:rPr>
          <w:sz w:val="21"/>
        </w:rPr>
        <w:t>或Ⅱ</w:t>
      </w:r>
      <w:r>
        <w:rPr>
          <w:sz w:val="21"/>
          <w:vertAlign w:val="subscript"/>
        </w:rPr>
        <w:t>4</w:t>
      </w:r>
      <w:r>
        <w:rPr>
          <w:sz w:val="21"/>
        </w:rPr>
        <w:t>，B错误；</w:t>
      </w:r>
    </w:p>
    <w:p w14:paraId="142D6B3A">
      <w:pPr>
        <w:shd w:val="clear" w:color="auto" w:fill="auto"/>
        <w:spacing w:line="240" w:lineRule="auto"/>
        <w:jc w:val="left"/>
        <w:textAlignment w:val="center"/>
        <w:rPr>
          <w:sz w:val="21"/>
        </w:rPr>
      </w:pPr>
      <w:r>
        <w:rPr>
          <w:sz w:val="21"/>
        </w:rPr>
        <w:t>C、由图可知，Ⅱ</w:t>
      </w:r>
      <w:r>
        <w:rPr>
          <w:sz w:val="21"/>
          <w:vertAlign w:val="subscript"/>
        </w:rPr>
        <w:t>5</w:t>
      </w:r>
      <w:r>
        <w:rPr>
          <w:sz w:val="21"/>
        </w:rPr>
        <w:t>和Ⅱ</w:t>
      </w:r>
      <w:r>
        <w:rPr>
          <w:sz w:val="21"/>
          <w:vertAlign w:val="subscript"/>
        </w:rPr>
        <w:t>6</w:t>
      </w:r>
      <w:r>
        <w:rPr>
          <w:sz w:val="21"/>
        </w:rPr>
        <w:t>有关腓骨肌萎缩症的基因型是X</w:t>
      </w:r>
      <w:r>
        <w:rPr>
          <w:sz w:val="21"/>
          <w:vertAlign w:val="superscript"/>
        </w:rPr>
        <w:t>D</w:t>
      </w:r>
      <w:r>
        <w:rPr>
          <w:sz w:val="21"/>
        </w:rPr>
        <w:t>X</w:t>
      </w:r>
      <w:r>
        <w:rPr>
          <w:sz w:val="21"/>
          <w:vertAlign w:val="superscript"/>
        </w:rPr>
        <w:t>d</w:t>
      </w:r>
      <w:r>
        <w:rPr>
          <w:sz w:val="21"/>
        </w:rPr>
        <w:t>、X</w:t>
      </w:r>
      <w:r>
        <w:rPr>
          <w:sz w:val="21"/>
          <w:vertAlign w:val="superscript"/>
        </w:rPr>
        <w:t>d</w:t>
      </w:r>
      <w:r>
        <w:rPr>
          <w:sz w:val="21"/>
        </w:rPr>
        <w:t>Y，所以Ⅲ</w:t>
      </w:r>
      <w:r>
        <w:rPr>
          <w:sz w:val="21"/>
          <w:vertAlign w:val="subscript"/>
        </w:rPr>
        <w:t>13</w:t>
      </w:r>
      <w:r>
        <w:rPr>
          <w:sz w:val="21"/>
        </w:rPr>
        <w:t>的基因型是X</w:t>
      </w:r>
      <w:r>
        <w:rPr>
          <w:sz w:val="21"/>
          <w:vertAlign w:val="superscript"/>
        </w:rPr>
        <w:t>D</w:t>
      </w:r>
      <w:r>
        <w:rPr>
          <w:sz w:val="21"/>
        </w:rPr>
        <w:t>X</w:t>
      </w:r>
      <w:r>
        <w:rPr>
          <w:sz w:val="21"/>
          <w:vertAlign w:val="superscript"/>
        </w:rPr>
        <w:t>d</w:t>
      </w:r>
      <w:r>
        <w:rPr>
          <w:sz w:val="21"/>
        </w:rPr>
        <w:t>；因为IV</w:t>
      </w:r>
      <w:r>
        <w:rPr>
          <w:sz w:val="21"/>
          <w:vertAlign w:val="subscript"/>
        </w:rPr>
        <w:t>18</w:t>
      </w:r>
      <w:r>
        <w:rPr>
          <w:sz w:val="21"/>
        </w:rPr>
        <w:t>两病皆患，所以Ⅲ</w:t>
      </w:r>
      <w:r>
        <w:rPr>
          <w:sz w:val="21"/>
          <w:vertAlign w:val="subscript"/>
        </w:rPr>
        <w:t>10</w:t>
      </w:r>
      <w:r>
        <w:rPr>
          <w:sz w:val="21"/>
        </w:rPr>
        <w:t>耳聋相关基因为Bb，Ⅱ</w:t>
      </w:r>
      <w:r>
        <w:rPr>
          <w:sz w:val="21"/>
          <w:vertAlign w:val="subscript"/>
        </w:rPr>
        <w:t>5</w:t>
      </w:r>
      <w:r>
        <w:rPr>
          <w:sz w:val="21"/>
        </w:rPr>
        <w:t>和Ⅱ</w:t>
      </w:r>
      <w:r>
        <w:rPr>
          <w:sz w:val="21"/>
          <w:vertAlign w:val="subscript"/>
        </w:rPr>
        <w:t>6</w:t>
      </w:r>
      <w:r>
        <w:rPr>
          <w:sz w:val="21"/>
        </w:rPr>
        <w:t>中携带耳聋致病基因，所以Ⅲ</w:t>
      </w:r>
      <w:r>
        <w:rPr>
          <w:sz w:val="21"/>
          <w:vertAlign w:val="subscript"/>
        </w:rPr>
        <w:t>13</w:t>
      </w:r>
      <w:r>
        <w:rPr>
          <w:sz w:val="21"/>
        </w:rPr>
        <w:t>有关耳聋的基因型可能是BB或Bb，则Ⅲ</w:t>
      </w:r>
      <w:r>
        <w:rPr>
          <w:sz w:val="21"/>
          <w:vertAlign w:val="subscript"/>
        </w:rPr>
        <w:t>13</w:t>
      </w:r>
      <w:r>
        <w:rPr>
          <w:sz w:val="21"/>
        </w:rPr>
        <w:t>的基因型为BbX</w:t>
      </w:r>
      <w:r>
        <w:rPr>
          <w:sz w:val="21"/>
          <w:vertAlign w:val="superscript"/>
        </w:rPr>
        <w:t>D</w:t>
      </w:r>
      <w:r>
        <w:rPr>
          <w:sz w:val="21"/>
        </w:rPr>
        <w:t>X</w:t>
      </w:r>
      <w:r>
        <w:rPr>
          <w:sz w:val="21"/>
          <w:vertAlign w:val="superscript"/>
        </w:rPr>
        <w:t>d</w:t>
      </w:r>
      <w:r>
        <w:rPr>
          <w:sz w:val="21"/>
        </w:rPr>
        <w:t>或BBX</w:t>
      </w:r>
      <w:r>
        <w:rPr>
          <w:sz w:val="21"/>
          <w:vertAlign w:val="superscript"/>
        </w:rPr>
        <w:t>D</w:t>
      </w:r>
      <w:r>
        <w:rPr>
          <w:sz w:val="21"/>
        </w:rPr>
        <w:t>X</w:t>
      </w:r>
      <w:r>
        <w:rPr>
          <w:sz w:val="21"/>
          <w:vertAlign w:val="superscript"/>
        </w:rPr>
        <w:t>d</w:t>
      </w:r>
      <w:r>
        <w:rPr>
          <w:sz w:val="21"/>
        </w:rPr>
        <w:t>，C 正确；</w:t>
      </w:r>
    </w:p>
    <w:p w14:paraId="06584106">
      <w:pPr>
        <w:shd w:val="clear" w:color="auto" w:fill="auto"/>
        <w:spacing w:line="240" w:lineRule="auto"/>
        <w:jc w:val="left"/>
        <w:textAlignment w:val="center"/>
        <w:rPr>
          <w:sz w:val="21"/>
        </w:rPr>
      </w:pPr>
      <w:r>
        <w:rPr>
          <w:sz w:val="21"/>
        </w:rPr>
        <w:t>D、由图可知，V</w:t>
      </w:r>
      <w:r>
        <w:rPr>
          <w:sz w:val="21"/>
          <w:vertAlign w:val="subscript"/>
        </w:rPr>
        <w:t>22</w:t>
      </w:r>
      <w:r>
        <w:rPr>
          <w:sz w:val="21"/>
        </w:rPr>
        <w:t>的基因型为BbX</w:t>
      </w:r>
      <w:r>
        <w:rPr>
          <w:sz w:val="21"/>
          <w:vertAlign w:val="superscript"/>
        </w:rPr>
        <w:t>d</w:t>
      </w:r>
      <w:r>
        <w:rPr>
          <w:sz w:val="21"/>
        </w:rPr>
        <w:t>Y，V</w:t>
      </w:r>
      <w:r>
        <w:rPr>
          <w:sz w:val="21"/>
          <w:vertAlign w:val="subscript"/>
        </w:rPr>
        <w:t>23</w:t>
      </w:r>
      <w:r>
        <w:rPr>
          <w:sz w:val="21"/>
        </w:rPr>
        <w:t>的基因型为1/2BBX</w:t>
      </w:r>
      <w:r>
        <w:rPr>
          <w:sz w:val="21"/>
          <w:vertAlign w:val="superscript"/>
        </w:rPr>
        <w:t>D</w:t>
      </w:r>
      <w:r>
        <w:rPr>
          <w:sz w:val="21"/>
        </w:rPr>
        <w:t>X</w:t>
      </w:r>
      <w:r>
        <w:rPr>
          <w:sz w:val="21"/>
          <w:vertAlign w:val="superscript"/>
        </w:rPr>
        <w:t>d</w:t>
      </w:r>
      <w:r>
        <w:rPr>
          <w:sz w:val="21"/>
        </w:rPr>
        <w:t>，1/2BbX</w:t>
      </w:r>
      <w:r>
        <w:rPr>
          <w:sz w:val="21"/>
          <w:vertAlign w:val="superscript"/>
        </w:rPr>
        <w:t>D</w:t>
      </w:r>
      <w:r>
        <w:rPr>
          <w:sz w:val="21"/>
        </w:rPr>
        <w:t>X</w:t>
      </w:r>
      <w:r>
        <w:rPr>
          <w:sz w:val="21"/>
          <w:vertAlign w:val="superscript"/>
        </w:rPr>
        <w:t>d</w:t>
      </w:r>
      <w:r>
        <w:rPr>
          <w:sz w:val="21"/>
        </w:rPr>
        <w:t>，所以他们后代中出现不患病女孩的概率是7/8（不患神经性耳聋概率）×1/4（不患腓骨肌萎缩症的女孩概率）=7/32，D错误。</w:t>
      </w:r>
    </w:p>
    <w:p w14:paraId="23DEC238">
      <w:pPr>
        <w:shd w:val="clear" w:color="auto" w:fill="auto"/>
        <w:spacing w:line="240" w:lineRule="auto"/>
        <w:jc w:val="left"/>
        <w:textAlignment w:val="center"/>
        <w:rPr>
          <w:sz w:val="21"/>
        </w:rPr>
      </w:pPr>
      <w:r>
        <w:rPr>
          <w:sz w:val="21"/>
        </w:rPr>
        <w:t>故选C。</w:t>
      </w:r>
    </w:p>
    <w:p w14:paraId="0ECB2FC5">
      <w:pPr>
        <w:shd w:val="clear" w:color="auto" w:fill="auto"/>
        <w:spacing w:line="240" w:lineRule="auto"/>
        <w:jc w:val="left"/>
        <w:textAlignment w:val="center"/>
        <w:rPr>
          <w:sz w:val="21"/>
        </w:rPr>
      </w:pPr>
      <w:r>
        <w:rPr>
          <w:sz w:val="21"/>
        </w:rPr>
        <w:t>7．B</w:t>
      </w:r>
    </w:p>
    <w:p w14:paraId="2ACFEB1E">
      <w:pPr>
        <w:shd w:val="clear" w:color="auto" w:fill="auto"/>
        <w:spacing w:line="240" w:lineRule="auto"/>
        <w:jc w:val="left"/>
        <w:textAlignment w:val="center"/>
        <w:rPr>
          <w:sz w:val="21"/>
        </w:rPr>
      </w:pPr>
      <w:r>
        <w:rPr>
          <w:sz w:val="21"/>
        </w:rPr>
        <w:t>【分析】基因突变是指DNA分子上由于碱基对的增添、缺失或替换而导致基因结构的改变。</w:t>
      </w:r>
    </w:p>
    <w:p w14:paraId="16D6484A">
      <w:pPr>
        <w:shd w:val="clear" w:color="auto" w:fill="auto"/>
        <w:spacing w:line="240" w:lineRule="auto"/>
        <w:jc w:val="left"/>
        <w:textAlignment w:val="center"/>
        <w:rPr>
          <w:sz w:val="21"/>
        </w:rPr>
      </w:pPr>
      <w:r>
        <w:rPr>
          <w:sz w:val="21"/>
        </w:rPr>
        <w:t>【详解】A、由题意知，野生型玉米的体细胞和生殖细胞中均存在淀粉，因此E基因能在体细胞和生殖细胞中均能表达，A正确；</w:t>
      </w:r>
    </w:p>
    <w:p w14:paraId="52FD0122">
      <w:pPr>
        <w:shd w:val="clear" w:color="auto" w:fill="auto"/>
        <w:spacing w:line="240" w:lineRule="auto"/>
        <w:jc w:val="left"/>
        <w:textAlignment w:val="center"/>
        <w:rPr>
          <w:sz w:val="21"/>
        </w:rPr>
      </w:pPr>
      <w:r>
        <w:rPr>
          <w:sz w:val="21"/>
        </w:rPr>
        <w:t>B、基因型为ee的个体，不能形成淀粉，但是该玉米果穗上所结的果实可能是皱缩，也可能是饱满，B错误；</w:t>
      </w:r>
    </w:p>
    <w:p w14:paraId="09BB5C80">
      <w:pPr>
        <w:shd w:val="clear" w:color="auto" w:fill="auto"/>
        <w:spacing w:line="240" w:lineRule="auto"/>
        <w:jc w:val="left"/>
        <w:textAlignment w:val="center"/>
        <w:rPr>
          <w:sz w:val="21"/>
        </w:rPr>
      </w:pPr>
      <w:r>
        <w:rPr>
          <w:sz w:val="21"/>
        </w:rPr>
        <w:t>C、如果子代皱缩果实占比为0.0036%，即ee=0.0036%=0.000036，则e=</w:t>
      </w:r>
      <w:r>
        <w:object>
          <v:shape id="_x0000_i1025" o:spt="75" alt="eqId4e4818eaa8508e3a70dc0767ab83c8d6" type="#_x0000_t75" style="height:15.9pt;width:51pt;" o:ole="t" filled="f" o:preferrelative="t" stroked="f" coordsize="21600,21600">
            <v:path/>
            <v:fill on="f" focussize="0,0"/>
            <v:stroke on="f" joinstyle="miter"/>
            <v:imagedata r:id="rId33" o:title="eqId4e4818eaa8508e3a70dc0767ab83c8d6"/>
            <o:lock v:ext="edit" aspectratio="t"/>
            <w10:wrap type="none"/>
            <w10:anchorlock/>
          </v:shape>
          <o:OLEObject Type="Embed" ProgID="Equation.DSMT4" ShapeID="_x0000_i1025" DrawAspect="Content" ObjectID="_1468075725" r:id="rId32">
            <o:LockedField>false</o:LockedField>
          </o:OLEObject>
        </w:object>
      </w:r>
      <w:r>
        <w:rPr>
          <w:sz w:val="21"/>
        </w:rPr>
        <w:t>=0.6%，C正确；</w:t>
      </w:r>
    </w:p>
    <w:p w14:paraId="266AFA51">
      <w:pPr>
        <w:shd w:val="clear" w:color="auto" w:fill="auto"/>
        <w:spacing w:line="240" w:lineRule="auto"/>
        <w:jc w:val="left"/>
        <w:textAlignment w:val="center"/>
        <w:rPr>
          <w:sz w:val="21"/>
        </w:rPr>
      </w:pPr>
      <w:r>
        <w:rPr>
          <w:sz w:val="21"/>
        </w:rPr>
        <w:t>D、碘液染花粉后，计算着色的花粉粒和未着色的花粉粒，可以计算出纯合野生型植株E突变为e的频率，D正确。</w:t>
      </w:r>
    </w:p>
    <w:p w14:paraId="2D685D7F">
      <w:pPr>
        <w:shd w:val="clear" w:color="auto" w:fill="auto"/>
        <w:spacing w:line="240" w:lineRule="auto"/>
        <w:jc w:val="left"/>
        <w:textAlignment w:val="center"/>
        <w:rPr>
          <w:sz w:val="21"/>
        </w:rPr>
      </w:pPr>
      <w:r>
        <w:rPr>
          <w:sz w:val="21"/>
        </w:rPr>
        <w:t>故选B。</w:t>
      </w:r>
    </w:p>
    <w:p w14:paraId="6D61EB6F">
      <w:pPr>
        <w:shd w:val="clear" w:color="auto" w:fill="auto"/>
        <w:spacing w:line="240" w:lineRule="auto"/>
        <w:jc w:val="left"/>
        <w:textAlignment w:val="center"/>
        <w:rPr>
          <w:sz w:val="21"/>
        </w:rPr>
      </w:pPr>
      <w:r>
        <w:rPr>
          <w:sz w:val="21"/>
        </w:rPr>
        <w:t>8．C</w:t>
      </w:r>
    </w:p>
    <w:p w14:paraId="6AFEEAFA">
      <w:pPr>
        <w:shd w:val="clear" w:color="auto" w:fill="auto"/>
        <w:spacing w:line="240" w:lineRule="auto"/>
        <w:jc w:val="left"/>
        <w:textAlignment w:val="center"/>
        <w:rPr>
          <w:sz w:val="21"/>
        </w:rPr>
      </w:pPr>
      <w:r>
        <w:rPr>
          <w:sz w:val="21"/>
        </w:rPr>
        <w:t>【分析】据图分析，抽取C系鼠的淋巴细胞，注射给A系鼠的胚胎，形成的子代A系鼠，被移植C系鼠的皮肤，未出现免疫排斥现象；而移植B系鼠的皮肤，发生免疫排斥现象。</w:t>
      </w:r>
    </w:p>
    <w:p w14:paraId="1B36BF60">
      <w:pPr>
        <w:shd w:val="clear" w:color="auto" w:fill="auto"/>
        <w:spacing w:line="240" w:lineRule="auto"/>
        <w:jc w:val="left"/>
        <w:textAlignment w:val="center"/>
        <w:rPr>
          <w:sz w:val="21"/>
        </w:rPr>
      </w:pPr>
      <w:r>
        <w:rPr>
          <w:sz w:val="21"/>
        </w:rPr>
        <w:t>【详解】B系鼠和C系鼠的皮肤对于子代A系鼠是抗原，A错误；子代A系鼠的效应T细胞裂解了移植的B系鼠的皮肤，B错误；C系鼠的皮肤没有引起子代A系鼠的免疫排斥反应，原因是无相应的效应T细胞，C正确；注射淋巴细胞使子代A系鼠的出现C系鼠的淋巴细胞，并没有失去特异性免疫功能，D错误。故选C。</w:t>
      </w:r>
    </w:p>
    <w:p w14:paraId="3DA75B4F">
      <w:pPr>
        <w:shd w:val="clear" w:color="auto" w:fill="auto"/>
        <w:spacing w:line="240" w:lineRule="auto"/>
        <w:jc w:val="left"/>
        <w:textAlignment w:val="center"/>
        <w:rPr>
          <w:sz w:val="21"/>
        </w:rPr>
      </w:pPr>
      <w:r>
        <w:rPr>
          <w:sz w:val="21"/>
        </w:rPr>
        <w:t>【点睛】注意：器官移植引起的免疫反应属于细胞免疫。</w:t>
      </w:r>
    </w:p>
    <w:p w14:paraId="3F41560F">
      <w:pPr>
        <w:shd w:val="clear" w:color="auto" w:fill="auto"/>
        <w:spacing w:line="240" w:lineRule="auto"/>
        <w:jc w:val="left"/>
        <w:textAlignment w:val="center"/>
        <w:rPr>
          <w:sz w:val="21"/>
        </w:rPr>
      </w:pPr>
      <w:r>
        <w:rPr>
          <w:sz w:val="21"/>
        </w:rPr>
        <w:t>9．D</w:t>
      </w:r>
    </w:p>
    <w:p w14:paraId="56BF2047">
      <w:pPr>
        <w:shd w:val="clear" w:color="auto" w:fill="auto"/>
        <w:spacing w:line="240" w:lineRule="auto"/>
        <w:jc w:val="left"/>
        <w:textAlignment w:val="center"/>
        <w:rPr>
          <w:sz w:val="21"/>
        </w:rPr>
      </w:pPr>
      <w:r>
        <w:rPr>
          <w:sz w:val="21"/>
        </w:rPr>
        <w:t>【分析】分析实验表格可知，实验的自变量为植物激素的种类和激素浓度，因变量为插条生根情况即生根率。实验需遵循单一变量和对照性原则，因此表格中缺少植物生长素类似物浓度为0的对照组。</w:t>
      </w:r>
    </w:p>
    <w:p w14:paraId="7B30C5F5">
      <w:pPr>
        <w:shd w:val="clear" w:color="auto" w:fill="auto"/>
        <w:spacing w:line="240" w:lineRule="auto"/>
        <w:jc w:val="left"/>
        <w:textAlignment w:val="center"/>
        <w:rPr>
          <w:sz w:val="21"/>
        </w:rPr>
      </w:pPr>
      <w:r>
        <w:rPr>
          <w:sz w:val="21"/>
        </w:rPr>
        <w:t>【详解】A、从表格中可以看出，该实验自变量是植物激素的种类和激素浓度；因变量除了生根率外，还可以看生根条数或生根长度，A正确；</w:t>
      </w:r>
    </w:p>
    <w:p w14:paraId="4E70A724">
      <w:pPr>
        <w:shd w:val="clear" w:color="auto" w:fill="auto"/>
        <w:spacing w:line="240" w:lineRule="auto"/>
        <w:jc w:val="left"/>
        <w:textAlignment w:val="center"/>
        <w:rPr>
          <w:sz w:val="21"/>
        </w:rPr>
      </w:pPr>
      <w:r>
        <w:rPr>
          <w:sz w:val="21"/>
        </w:rPr>
        <w:t>B、本实验缺少不做任何处理的空白对照组，B正确；</w:t>
      </w:r>
    </w:p>
    <w:p w14:paraId="087F2806">
      <w:pPr>
        <w:shd w:val="clear" w:color="auto" w:fill="auto"/>
        <w:spacing w:line="240" w:lineRule="auto"/>
        <w:jc w:val="left"/>
        <w:textAlignment w:val="center"/>
        <w:rPr>
          <w:sz w:val="21"/>
        </w:rPr>
      </w:pPr>
      <w:r>
        <w:rPr>
          <w:sz w:val="21"/>
        </w:rPr>
        <w:t>C、从图中可以看出，3种生长素浓度对生根影响的共同点是都能促进生根，C正确；</w:t>
      </w:r>
    </w:p>
    <w:p w14:paraId="332C2D0C">
      <w:pPr>
        <w:shd w:val="clear" w:color="auto" w:fill="auto"/>
        <w:spacing w:line="240" w:lineRule="auto"/>
        <w:jc w:val="left"/>
        <w:textAlignment w:val="center"/>
        <w:rPr>
          <w:sz w:val="21"/>
        </w:rPr>
      </w:pPr>
      <w:r>
        <w:rPr>
          <w:sz w:val="21"/>
        </w:rPr>
        <w:t>D、随着激素浓度的升高，生根率先增大后下降；从变量上分析，激素种类的影响大于激素浓度的影响，D错误。</w:t>
      </w:r>
    </w:p>
    <w:p w14:paraId="5D073EEC">
      <w:pPr>
        <w:shd w:val="clear" w:color="auto" w:fill="auto"/>
        <w:spacing w:line="240" w:lineRule="auto"/>
        <w:jc w:val="left"/>
        <w:textAlignment w:val="center"/>
        <w:rPr>
          <w:sz w:val="21"/>
        </w:rPr>
      </w:pPr>
      <w:r>
        <w:rPr>
          <w:sz w:val="21"/>
        </w:rPr>
        <w:t>故选D。</w:t>
      </w:r>
    </w:p>
    <w:p w14:paraId="6FC28FCF">
      <w:pPr>
        <w:shd w:val="clear" w:color="auto" w:fill="auto"/>
        <w:spacing w:line="240" w:lineRule="auto"/>
        <w:jc w:val="left"/>
        <w:textAlignment w:val="center"/>
        <w:rPr>
          <w:sz w:val="21"/>
        </w:rPr>
      </w:pPr>
      <w:r>
        <w:rPr>
          <w:sz w:val="21"/>
        </w:rPr>
        <w:t>10．B</w:t>
      </w:r>
    </w:p>
    <w:p w14:paraId="0DA8AA2A">
      <w:pPr>
        <w:shd w:val="clear" w:color="auto" w:fill="auto"/>
        <w:spacing w:line="240" w:lineRule="auto"/>
        <w:jc w:val="left"/>
        <w:textAlignment w:val="center"/>
        <w:rPr>
          <w:sz w:val="21"/>
        </w:rPr>
      </w:pPr>
      <w:r>
        <w:rPr>
          <w:sz w:val="21"/>
        </w:rPr>
        <w:t>【详解】A、根据“三趾树懒上的树懒蛾死掉后被分解者分解，产生的无机氮促进树懒皮毛中绿藻的生长，绿藻能帮助树懒躲避天敌，也可供树懒食用”可知，三趾树懒和绿藻之间存在互利共生和捕食关系，A错误；</w:t>
      </w:r>
    </w:p>
    <w:p w14:paraId="124E74AD">
      <w:pPr>
        <w:shd w:val="clear" w:color="auto" w:fill="auto"/>
        <w:spacing w:line="240" w:lineRule="auto"/>
        <w:jc w:val="left"/>
        <w:textAlignment w:val="center"/>
        <w:rPr>
          <w:sz w:val="21"/>
        </w:rPr>
      </w:pPr>
      <w:r>
        <w:rPr>
          <w:sz w:val="21"/>
        </w:rPr>
        <w:t>B、三趾树懒是一种移动缓慢、代谢率极低的植食性动物，三趾树懒爬下树排便耗能较多且易被天敌捕食，B正确；</w:t>
      </w:r>
    </w:p>
    <w:p w14:paraId="457DC0E6">
      <w:pPr>
        <w:shd w:val="clear" w:color="auto" w:fill="auto"/>
        <w:spacing w:line="240" w:lineRule="auto"/>
        <w:jc w:val="left"/>
        <w:textAlignment w:val="center"/>
        <w:rPr>
          <w:sz w:val="21"/>
        </w:rPr>
      </w:pPr>
      <w:r>
        <w:rPr>
          <w:sz w:val="21"/>
        </w:rPr>
        <w:t>C、树懒蛾幼虫呼吸作用消耗的能量来自三趾树懒的粪便中的能量，即生产者同化的能量，C错误；</w:t>
      </w:r>
    </w:p>
    <w:p w14:paraId="5416584D">
      <w:pPr>
        <w:shd w:val="clear" w:color="auto" w:fill="auto"/>
        <w:spacing w:line="240" w:lineRule="auto"/>
        <w:jc w:val="left"/>
        <w:textAlignment w:val="center"/>
        <w:rPr>
          <w:sz w:val="21"/>
        </w:rPr>
      </w:pPr>
      <w:r>
        <w:rPr>
          <w:sz w:val="21"/>
        </w:rPr>
        <w:t>D、三趾树懒、树懒蛾和绿藻不能构成一个生物群落，D错误。</w:t>
      </w:r>
    </w:p>
    <w:p w14:paraId="7882D1A7">
      <w:pPr>
        <w:shd w:val="clear" w:color="auto" w:fill="auto"/>
        <w:spacing w:line="240" w:lineRule="auto"/>
        <w:jc w:val="left"/>
        <w:textAlignment w:val="center"/>
        <w:rPr>
          <w:sz w:val="21"/>
        </w:rPr>
      </w:pPr>
      <w:r>
        <w:rPr>
          <w:sz w:val="21"/>
        </w:rPr>
        <w:t>故选B。</w:t>
      </w:r>
    </w:p>
    <w:p w14:paraId="69CA6D06">
      <w:pPr>
        <w:shd w:val="clear" w:color="auto" w:fill="auto"/>
        <w:spacing w:line="240" w:lineRule="auto"/>
        <w:jc w:val="left"/>
        <w:textAlignment w:val="center"/>
        <w:rPr>
          <w:sz w:val="21"/>
        </w:rPr>
      </w:pPr>
      <w:r>
        <w:rPr>
          <w:sz w:val="21"/>
        </w:rPr>
        <w:t>11．A</w:t>
      </w:r>
    </w:p>
    <w:p w14:paraId="6775CF9B">
      <w:pPr>
        <w:shd w:val="clear" w:color="auto" w:fill="auto"/>
        <w:spacing w:line="240" w:lineRule="auto"/>
        <w:jc w:val="left"/>
        <w:textAlignment w:val="center"/>
        <w:rPr>
          <w:sz w:val="21"/>
        </w:rPr>
      </w:pPr>
      <w:r>
        <w:rPr>
          <w:sz w:val="21"/>
        </w:rPr>
        <w:t>【分析】沼气池生态工程以废弃物为原料对废弃物进行了再利用，遵循了循环原理。沼气可以作为燃料为人类供能，沼渣可以用来养蘑菇，为人类及家禽家畜提供食物，实现了能量的多级利用，提高了能量的利用率。</w:t>
      </w:r>
    </w:p>
    <w:p w14:paraId="5FF9BAFC">
      <w:pPr>
        <w:shd w:val="clear" w:color="auto" w:fill="auto"/>
        <w:spacing w:line="240" w:lineRule="auto"/>
        <w:jc w:val="left"/>
        <w:textAlignment w:val="center"/>
        <w:rPr>
          <w:sz w:val="21"/>
        </w:rPr>
      </w:pPr>
      <w:r>
        <w:rPr>
          <w:sz w:val="21"/>
        </w:rPr>
        <w:t>【详解】A、沼气工程“以人畜粪便、秸秆为原料，产生的沼气可以为燃料，沼渣可以作为家禽的饲料及食用菌的培养基，沼液通入养鱼池用于促进浮游生物的生长，增加鱼的饲料，减少对林灌草地进行滥采滥伐，保护生态环境”，该过程充分利用了循环原理，实现了能量的多级利用，大大提高了能量的利用率，不能提高能量传递效率，A错误；</w:t>
      </w:r>
    </w:p>
    <w:p w14:paraId="46AEB5C6">
      <w:pPr>
        <w:shd w:val="clear" w:color="auto" w:fill="auto"/>
        <w:spacing w:line="240" w:lineRule="auto"/>
        <w:jc w:val="left"/>
        <w:textAlignment w:val="center"/>
        <w:rPr>
          <w:sz w:val="21"/>
        </w:rPr>
      </w:pPr>
      <w:r>
        <w:rPr>
          <w:sz w:val="21"/>
        </w:rPr>
        <w:t>B、保护林灌草地改善水土流失，属于生态功能，体现了生物多样性的间接价值，B正确；</w:t>
      </w:r>
    </w:p>
    <w:p w14:paraId="7BDB9EC1">
      <w:pPr>
        <w:shd w:val="clear" w:color="auto" w:fill="auto"/>
        <w:spacing w:line="240" w:lineRule="auto"/>
        <w:jc w:val="left"/>
        <w:textAlignment w:val="center"/>
        <w:rPr>
          <w:sz w:val="21"/>
        </w:rPr>
      </w:pPr>
      <w:r>
        <w:rPr>
          <w:sz w:val="21"/>
        </w:rPr>
        <w:t>C、人类对林灌草地滥采滥伐会使生物种类减少，而对林灌草地进行保护后，很多鸟类和小动物迁入、定居，使生物种类增加，改变了演替的速度和方向，C正确；</w:t>
      </w:r>
    </w:p>
    <w:p w14:paraId="53210194">
      <w:pPr>
        <w:shd w:val="clear" w:color="auto" w:fill="auto"/>
        <w:spacing w:line="240" w:lineRule="auto"/>
        <w:jc w:val="left"/>
        <w:textAlignment w:val="center"/>
        <w:rPr>
          <w:sz w:val="21"/>
        </w:rPr>
      </w:pPr>
      <w:r>
        <w:rPr>
          <w:sz w:val="21"/>
        </w:rPr>
        <w:t>D、为尽早实现“碳中和”，我们一方面，可以通过植树造林、退耕还林还草等增加生产者的光合作用；另一方面，可以开发风电、核电、水能、沼气等新能源，D正确。</w:t>
      </w:r>
    </w:p>
    <w:p w14:paraId="3B18F391">
      <w:pPr>
        <w:shd w:val="clear" w:color="auto" w:fill="auto"/>
        <w:spacing w:line="240" w:lineRule="auto"/>
        <w:jc w:val="left"/>
        <w:textAlignment w:val="center"/>
        <w:rPr>
          <w:sz w:val="21"/>
        </w:rPr>
      </w:pPr>
    </w:p>
    <w:p w14:paraId="6FA5854E">
      <w:pPr>
        <w:shd w:val="clear" w:color="auto" w:fill="auto"/>
        <w:spacing w:line="240" w:lineRule="auto"/>
        <w:jc w:val="left"/>
        <w:textAlignment w:val="center"/>
        <w:rPr>
          <w:sz w:val="21"/>
        </w:rPr>
      </w:pPr>
      <w:r>
        <w:rPr>
          <w:sz w:val="21"/>
        </w:rPr>
        <w:t>故选A。</w:t>
      </w:r>
    </w:p>
    <w:p w14:paraId="5ADAB752">
      <w:pPr>
        <w:shd w:val="clear" w:color="auto" w:fill="auto"/>
        <w:spacing w:line="240" w:lineRule="auto"/>
        <w:jc w:val="left"/>
        <w:textAlignment w:val="center"/>
        <w:rPr>
          <w:sz w:val="21"/>
        </w:rPr>
      </w:pPr>
      <w:r>
        <w:rPr>
          <w:sz w:val="21"/>
        </w:rPr>
        <w:t>12．B</w:t>
      </w:r>
    </w:p>
    <w:p w14:paraId="25D66FE1">
      <w:pPr>
        <w:shd w:val="clear" w:color="auto" w:fill="auto"/>
        <w:spacing w:line="240" w:lineRule="auto"/>
        <w:jc w:val="left"/>
        <w:textAlignment w:val="center"/>
        <w:rPr>
          <w:sz w:val="21"/>
        </w:rPr>
      </w:pPr>
      <w:r>
        <w:rPr>
          <w:sz w:val="21"/>
        </w:rPr>
        <w:t>【分析】分裂形成的早期子细胞的分化能力低于成熟的子细胞。细胞分化的细胞核内的基因不改变，细胞的选择性表达，细胞会合成具有特定功能的蛋白质。基因的选择性表达过程不仅与基因有关，也会受细胞的微环境影响。</w:t>
      </w:r>
    </w:p>
    <w:p w14:paraId="6F26558F">
      <w:pPr>
        <w:shd w:val="clear" w:color="auto" w:fill="auto"/>
        <w:spacing w:line="240" w:lineRule="auto"/>
        <w:jc w:val="left"/>
        <w:textAlignment w:val="center"/>
        <w:rPr>
          <w:sz w:val="21"/>
        </w:rPr>
      </w:pPr>
      <w:r>
        <w:rPr>
          <w:sz w:val="21"/>
        </w:rPr>
        <w:t>【详解】A．细胞重新编程，是将成熟体细胞重新诱导回早期干细胞状态，以用于发育成各种类型的细胞，此时多功能干细胞的分化程度比成熟细胞低，A正确；</w:t>
      </w:r>
    </w:p>
    <w:p w14:paraId="5F5E2C16">
      <w:pPr>
        <w:shd w:val="clear" w:color="auto" w:fill="auto"/>
        <w:spacing w:line="240" w:lineRule="auto"/>
        <w:jc w:val="left"/>
        <w:textAlignment w:val="center"/>
        <w:rPr>
          <w:sz w:val="21"/>
        </w:rPr>
      </w:pPr>
      <w:r>
        <w:rPr>
          <w:sz w:val="21"/>
        </w:rPr>
        <w:t>B．由题干信息知，通过细胞核重新编程，成熟细胞（包括肝、胃和大脑）也能分化成多功能干细胞，B错误；</w:t>
      </w:r>
    </w:p>
    <w:p w14:paraId="0A440715">
      <w:pPr>
        <w:shd w:val="clear" w:color="auto" w:fill="auto"/>
        <w:spacing w:line="240" w:lineRule="auto"/>
        <w:jc w:val="left"/>
        <w:textAlignment w:val="center"/>
        <w:rPr>
          <w:sz w:val="21"/>
        </w:rPr>
      </w:pPr>
      <w:r>
        <w:rPr>
          <w:sz w:val="21"/>
        </w:rPr>
        <w:t>C．细胞都是由一个受精卵发育而来的，细胞核内DNA一样，但基因是选择性表达的，所以转录出来的RNA不同，合成的蛋白质也不同，C正确；</w:t>
      </w:r>
    </w:p>
    <w:p w14:paraId="09218E49">
      <w:pPr>
        <w:shd w:val="clear" w:color="auto" w:fill="auto"/>
        <w:spacing w:line="240" w:lineRule="auto"/>
        <w:jc w:val="left"/>
        <w:textAlignment w:val="center"/>
        <w:rPr>
          <w:sz w:val="21"/>
        </w:rPr>
      </w:pPr>
      <w:r>
        <w:rPr>
          <w:sz w:val="21"/>
        </w:rPr>
        <w:t>D．细胞分化的过程是基因的选择性表达过程，基因的选择性表达过程不仅与基因有关，也会受细胞的微环境影响，D正确。</w:t>
      </w:r>
    </w:p>
    <w:p w14:paraId="10D9BBA5">
      <w:pPr>
        <w:shd w:val="clear" w:color="auto" w:fill="auto"/>
        <w:spacing w:line="240" w:lineRule="auto"/>
        <w:jc w:val="left"/>
        <w:textAlignment w:val="center"/>
        <w:rPr>
          <w:sz w:val="21"/>
        </w:rPr>
      </w:pPr>
      <w:r>
        <w:rPr>
          <w:sz w:val="21"/>
        </w:rPr>
        <w:t>故选B。</w:t>
      </w:r>
    </w:p>
    <w:p w14:paraId="3441E2E9">
      <w:pPr>
        <w:shd w:val="clear" w:color="auto" w:fill="auto"/>
        <w:spacing w:line="240" w:lineRule="auto"/>
        <w:jc w:val="left"/>
        <w:textAlignment w:val="center"/>
        <w:rPr>
          <w:sz w:val="21"/>
        </w:rPr>
      </w:pPr>
      <w:r>
        <w:rPr>
          <w:sz w:val="21"/>
        </w:rPr>
        <w:t>13．D</w:t>
      </w:r>
    </w:p>
    <w:p w14:paraId="095493A9">
      <w:pPr>
        <w:shd w:val="clear" w:color="auto" w:fill="auto"/>
        <w:spacing w:line="240" w:lineRule="auto"/>
        <w:jc w:val="left"/>
        <w:textAlignment w:val="center"/>
        <w:rPr>
          <w:sz w:val="21"/>
        </w:rPr>
      </w:pPr>
      <w:r>
        <w:rPr>
          <w:sz w:val="21"/>
        </w:rPr>
        <w:t>【分析】动物细胞培养过程：取动物组织块→剪碎组织→用胰蛋白酶处理分散成单个细胞→制成细胞悬液→转入培养液中（原代培养）→放入二氧化碳培养箱培养→贴满瓶壁的细胞用酶分散为单个细胞，制成细胞悬液→转入培养液（传代培养）→放入二氧化碳培养箱培养。</w:t>
      </w:r>
    </w:p>
    <w:p w14:paraId="10A57233">
      <w:pPr>
        <w:shd w:val="clear" w:color="auto" w:fill="auto"/>
        <w:spacing w:line="240" w:lineRule="auto"/>
        <w:jc w:val="left"/>
        <w:textAlignment w:val="center"/>
        <w:rPr>
          <w:sz w:val="21"/>
        </w:rPr>
      </w:pPr>
      <w:r>
        <w:rPr>
          <w:sz w:val="21"/>
        </w:rPr>
        <w:t>【详解】A、对不同的细胞分别进行单克隆培养主要涉及到细胞培养技术，A正确；</w:t>
      </w:r>
    </w:p>
    <w:p w14:paraId="6F37D52D">
      <w:pPr>
        <w:shd w:val="clear" w:color="auto" w:fill="auto"/>
        <w:spacing w:line="240" w:lineRule="auto"/>
        <w:jc w:val="left"/>
        <w:textAlignment w:val="center"/>
        <w:rPr>
          <w:sz w:val="21"/>
        </w:rPr>
      </w:pPr>
      <w:r>
        <w:rPr>
          <w:sz w:val="21"/>
        </w:rPr>
        <w:t>B、用胰蛋白酶或胶原蛋白酶等处理皮肤组织，将连接细胞的蛋白质水解，可使其分散成单个细胞，B正确；</w:t>
      </w:r>
    </w:p>
    <w:p w14:paraId="4C22CAFE">
      <w:pPr>
        <w:shd w:val="clear" w:color="auto" w:fill="auto"/>
        <w:spacing w:line="240" w:lineRule="auto"/>
        <w:jc w:val="left"/>
        <w:textAlignment w:val="center"/>
        <w:rPr>
          <w:sz w:val="21"/>
        </w:rPr>
      </w:pPr>
      <w:r>
        <w:rPr>
          <w:sz w:val="21"/>
        </w:rPr>
        <w:t>C、由题干信息可知，基因型为X</w:t>
      </w:r>
      <w:r>
        <w:rPr>
          <w:sz w:val="21"/>
          <w:vertAlign w:val="superscript"/>
        </w:rPr>
        <w:t>F</w:t>
      </w:r>
      <w:r>
        <w:rPr>
          <w:sz w:val="21"/>
        </w:rPr>
        <w:t>X</w:t>
      </w:r>
      <w:r>
        <w:rPr>
          <w:sz w:val="21"/>
          <w:vertAlign w:val="superscript"/>
        </w:rPr>
        <w:t>S</w:t>
      </w:r>
      <w:r>
        <w:rPr>
          <w:sz w:val="21"/>
        </w:rPr>
        <w:t>的女性体细胞中的两个X染色体会有一个随机失活，故一个细胞进行G−6PD蛋白电泳检测后只显示1个条带，原代培养细胞的电泳图有2个条带是因为同时检测了不止一个细胞，C正确；</w:t>
      </w:r>
    </w:p>
    <w:p w14:paraId="06B4B23E">
      <w:pPr>
        <w:shd w:val="clear" w:color="auto" w:fill="auto"/>
        <w:spacing w:line="240" w:lineRule="auto"/>
        <w:jc w:val="left"/>
        <w:textAlignment w:val="center"/>
        <w:rPr>
          <w:sz w:val="21"/>
        </w:rPr>
      </w:pPr>
      <w:r>
        <w:rPr>
          <w:sz w:val="21"/>
        </w:rPr>
        <w:t>D、单克隆培养的细胞，是通过有丝分裂增殖得到的细胞，故单克隆培养的细胞1、2、4、5、8、9与3、6、7所含基因相同，D错误。</w:t>
      </w:r>
    </w:p>
    <w:p w14:paraId="3DAD10D4">
      <w:pPr>
        <w:shd w:val="clear" w:color="auto" w:fill="auto"/>
        <w:spacing w:line="240" w:lineRule="auto"/>
        <w:jc w:val="left"/>
        <w:textAlignment w:val="center"/>
        <w:rPr>
          <w:sz w:val="21"/>
        </w:rPr>
      </w:pPr>
      <w:r>
        <w:rPr>
          <w:sz w:val="21"/>
        </w:rPr>
        <w:t>故选D。</w:t>
      </w:r>
    </w:p>
    <w:p w14:paraId="0911C7F0">
      <w:pPr>
        <w:shd w:val="clear" w:color="auto" w:fill="auto"/>
        <w:spacing w:line="240" w:lineRule="auto"/>
        <w:jc w:val="left"/>
        <w:textAlignment w:val="center"/>
        <w:rPr>
          <w:sz w:val="21"/>
        </w:rPr>
      </w:pPr>
      <w:r>
        <w:rPr>
          <w:sz w:val="21"/>
        </w:rPr>
        <w:t>14．C</w:t>
      </w:r>
    </w:p>
    <w:p w14:paraId="08A9D5F9">
      <w:pPr>
        <w:shd w:val="clear" w:color="auto" w:fill="auto"/>
        <w:spacing w:line="240" w:lineRule="auto"/>
        <w:jc w:val="left"/>
        <w:textAlignment w:val="center"/>
        <w:rPr>
          <w:sz w:val="21"/>
        </w:rPr>
      </w:pPr>
      <w:r>
        <w:rPr>
          <w:sz w:val="21"/>
        </w:rPr>
        <w:t>【分析】用PCR扩增DNA片段的过程中，脱氧核苷酸只能加在引物3'端，子链延长方向是5'→3'，故引物的碱基序列应与每条模板链5'端的一段核苷酸链的碱基序列相同，即应以模板链5'端的一段脱氢核苷酸单链片段作引物。</w:t>
      </w:r>
    </w:p>
    <w:p w14:paraId="5674A44D">
      <w:pPr>
        <w:shd w:val="clear" w:color="auto" w:fill="auto"/>
        <w:spacing w:line="240" w:lineRule="auto"/>
        <w:jc w:val="left"/>
        <w:textAlignment w:val="center"/>
        <w:rPr>
          <w:sz w:val="21"/>
        </w:rPr>
      </w:pPr>
      <w:r>
        <w:rPr>
          <w:sz w:val="21"/>
        </w:rPr>
        <w:t>【详解】A、分析题图可知，引物的延伸方向为5'→3'，故图示所给引物1设计区碱基序列所在的DNA链为非模板链，故引物1的碱基序列与非模板链的碱基序列相同，而引物2要以引物2设计区碱基序列所在的DNA链为模板，故引物2的碱基序列应与所给序列碱基互补配对，该实验中需设计的引物2为5'－ATGATTTAACGAGAGTTGAA－3'，A错误；</w:t>
      </w:r>
    </w:p>
    <w:p w14:paraId="372637C8">
      <w:pPr>
        <w:shd w:val="clear" w:color="auto" w:fill="auto"/>
        <w:spacing w:line="240" w:lineRule="auto"/>
        <w:jc w:val="left"/>
        <w:textAlignment w:val="center"/>
        <w:rPr>
          <w:sz w:val="21"/>
        </w:rPr>
      </w:pPr>
      <w:r>
        <w:rPr>
          <w:sz w:val="21"/>
        </w:rPr>
        <w:t>B、PCR产物从71bp开始，到530bp为止，共460bp。若被切为大概150bp、300bp的两段，说明PCR产物可被酶切，则基因型应为GG，若PCR产物不被酶切，电泳后只有一条460bp左右的条带，则基因型为TT，B错误；</w:t>
      </w:r>
    </w:p>
    <w:p w14:paraId="44EDBC14">
      <w:pPr>
        <w:shd w:val="clear" w:color="auto" w:fill="auto"/>
        <w:spacing w:line="240" w:lineRule="auto"/>
        <w:jc w:val="left"/>
        <w:textAlignment w:val="center"/>
        <w:rPr>
          <w:sz w:val="21"/>
        </w:rPr>
      </w:pPr>
      <w:r>
        <w:rPr>
          <w:sz w:val="21"/>
        </w:rPr>
        <w:t>C、若Wx基因中第226位碱基是正常的G，该位点所在的内含子能被正常剪接，胚乳中直链淀粉含最高，基因型记做GG；若该位点突变成T，则不能被正常剪接，胚乳中直链淀粉的合成水平会降低，基因型记做TT，故GT杂合型水稻品种的G能被酶切成两段，而T不能被酶切，故酶切电泳结果为3条条带，C正确；</w:t>
      </w:r>
    </w:p>
    <w:p w14:paraId="3DCC1AFF">
      <w:pPr>
        <w:shd w:val="clear" w:color="auto" w:fill="auto"/>
        <w:spacing w:line="240" w:lineRule="auto"/>
        <w:jc w:val="left"/>
        <w:textAlignment w:val="center"/>
        <w:rPr>
          <w:sz w:val="21"/>
        </w:rPr>
      </w:pPr>
      <w:r>
        <w:rPr>
          <w:sz w:val="21"/>
        </w:rPr>
        <w:t>D、组成上述两种淀粉合成酶的氨基酸的数目不同，D错误。</w:t>
      </w:r>
    </w:p>
    <w:p w14:paraId="03366C87">
      <w:pPr>
        <w:shd w:val="clear" w:color="auto" w:fill="auto"/>
        <w:spacing w:line="240" w:lineRule="auto"/>
        <w:jc w:val="left"/>
        <w:textAlignment w:val="center"/>
        <w:rPr>
          <w:sz w:val="21"/>
        </w:rPr>
      </w:pPr>
      <w:r>
        <w:rPr>
          <w:sz w:val="21"/>
        </w:rPr>
        <w:t>故选C。</w:t>
      </w:r>
    </w:p>
    <w:p w14:paraId="57D4CDFB">
      <w:pPr>
        <w:shd w:val="clear" w:color="auto" w:fill="auto"/>
        <w:spacing w:line="240" w:lineRule="auto"/>
        <w:jc w:val="left"/>
        <w:textAlignment w:val="center"/>
        <w:rPr>
          <w:sz w:val="21"/>
        </w:rPr>
      </w:pPr>
      <w:r>
        <w:rPr>
          <w:sz w:val="21"/>
        </w:rPr>
        <w:t>15．AC</w:t>
      </w:r>
    </w:p>
    <w:p w14:paraId="4FEC27CB">
      <w:pPr>
        <w:shd w:val="clear" w:color="auto" w:fill="auto"/>
        <w:spacing w:line="240" w:lineRule="auto"/>
        <w:jc w:val="left"/>
        <w:textAlignment w:val="center"/>
        <w:rPr>
          <w:sz w:val="21"/>
        </w:rPr>
      </w:pPr>
      <w:r>
        <w:rPr>
          <w:sz w:val="21"/>
        </w:rPr>
        <w:t>【分析】据图可知，①表示CO</w:t>
      </w:r>
      <w:r>
        <w:rPr>
          <w:sz w:val="21"/>
          <w:vertAlign w:val="subscript"/>
        </w:rPr>
        <w:t>2</w:t>
      </w:r>
      <w:r>
        <w:rPr>
          <w:sz w:val="21"/>
        </w:rPr>
        <w:t>固定，②表示C</w:t>
      </w:r>
      <w:r>
        <w:rPr>
          <w:sz w:val="21"/>
          <w:vertAlign w:val="subscript"/>
        </w:rPr>
        <w:t>3</w:t>
      </w:r>
      <w:r>
        <w:rPr>
          <w:sz w:val="21"/>
        </w:rPr>
        <w:t>还原，③表示有氧呼吸第一阶段，④表示有氧呼吸第三阶段，⑤表示有氧呼吸第二阶段。Ⅰ~Ⅶ分别表示NADPH、O</w:t>
      </w:r>
      <w:r>
        <w:rPr>
          <w:sz w:val="21"/>
          <w:vertAlign w:val="subscript"/>
        </w:rPr>
        <w:t>2</w:t>
      </w:r>
      <w:r>
        <w:rPr>
          <w:sz w:val="21"/>
        </w:rPr>
        <w:t>、CO</w:t>
      </w:r>
      <w:r>
        <w:rPr>
          <w:sz w:val="21"/>
          <w:vertAlign w:val="subscript"/>
        </w:rPr>
        <w:t>2</w:t>
      </w:r>
      <w:r>
        <w:rPr>
          <w:sz w:val="21"/>
        </w:rPr>
        <w:t>、[H]、O</w:t>
      </w:r>
      <w:r>
        <w:rPr>
          <w:sz w:val="21"/>
          <w:vertAlign w:val="subscript"/>
        </w:rPr>
        <w:t>2</w:t>
      </w:r>
      <w:r>
        <w:rPr>
          <w:sz w:val="21"/>
        </w:rPr>
        <w:t>、ATP、CO</w:t>
      </w:r>
      <w:r>
        <w:rPr>
          <w:sz w:val="21"/>
          <w:vertAlign w:val="subscript"/>
        </w:rPr>
        <w:t>2</w:t>
      </w:r>
      <w:r>
        <w:rPr>
          <w:sz w:val="21"/>
        </w:rPr>
        <w:t>。</w:t>
      </w:r>
    </w:p>
    <w:p w14:paraId="3E9177D3">
      <w:pPr>
        <w:shd w:val="clear" w:color="auto" w:fill="auto"/>
        <w:spacing w:line="240" w:lineRule="auto"/>
        <w:jc w:val="left"/>
        <w:textAlignment w:val="center"/>
        <w:rPr>
          <w:sz w:val="21"/>
        </w:rPr>
      </w:pPr>
      <w:r>
        <w:rPr>
          <w:sz w:val="21"/>
        </w:rPr>
        <w:t>【详解】A、图中Ⅶ是有氧呼吸第二阶段的产物，表示CO</w:t>
      </w:r>
      <w:r>
        <w:rPr>
          <w:sz w:val="21"/>
          <w:vertAlign w:val="subscript"/>
        </w:rPr>
        <w:t>2</w:t>
      </w:r>
      <w:r>
        <w:rPr>
          <w:sz w:val="21"/>
        </w:rPr>
        <w:t>，产生场所是线粒体基质，被相邻细胞利用是在相邻细胞的叶绿体基质，至少需要穿过线粒体（2层膜）、线粒体所在细胞的细胞膜（1层膜）、相邻细胞的细胞膜（1层膜）、相邻细胞的叶绿体（2层膜），至少需要穿过6层生物膜，A错误；</w:t>
      </w:r>
    </w:p>
    <w:p w14:paraId="4A809E30">
      <w:pPr>
        <w:shd w:val="clear" w:color="auto" w:fill="auto"/>
        <w:spacing w:line="240" w:lineRule="auto"/>
        <w:jc w:val="left"/>
        <w:textAlignment w:val="center"/>
        <w:rPr>
          <w:sz w:val="21"/>
        </w:rPr>
      </w:pPr>
      <w:r>
        <w:rPr>
          <w:sz w:val="21"/>
        </w:rPr>
        <w:t>B、图中Ⅱ是水光解产物O</w:t>
      </w:r>
      <w:r>
        <w:rPr>
          <w:sz w:val="21"/>
          <w:vertAlign w:val="subscript"/>
        </w:rPr>
        <w:t>2</w:t>
      </w:r>
      <w:r>
        <w:rPr>
          <w:sz w:val="21"/>
        </w:rPr>
        <w:t>，Ⅲ能与C</w:t>
      </w:r>
      <w:r>
        <w:rPr>
          <w:sz w:val="21"/>
          <w:vertAlign w:val="subscript"/>
        </w:rPr>
        <w:t>5</w:t>
      </w:r>
      <w:r>
        <w:rPr>
          <w:sz w:val="21"/>
        </w:rPr>
        <w:t>结合形成C</w:t>
      </w:r>
      <w:r>
        <w:rPr>
          <w:sz w:val="21"/>
          <w:vertAlign w:val="subscript"/>
        </w:rPr>
        <w:t>3</w:t>
      </w:r>
      <w:r>
        <w:rPr>
          <w:sz w:val="21"/>
        </w:rPr>
        <w:t>，表示CO</w:t>
      </w:r>
      <w:r>
        <w:rPr>
          <w:sz w:val="21"/>
          <w:vertAlign w:val="subscript"/>
        </w:rPr>
        <w:t>2</w:t>
      </w:r>
      <w:r>
        <w:rPr>
          <w:sz w:val="21"/>
        </w:rPr>
        <w:t>，V与有氧呼吸前两个阶段产生的Ⅳ参与有氧呼吸第三阶段形成水，Ⅶ是有氧呼吸第二阶段的产物，是CO</w:t>
      </w:r>
      <w:r>
        <w:rPr>
          <w:sz w:val="21"/>
          <w:vertAlign w:val="subscript"/>
        </w:rPr>
        <w:t>2</w:t>
      </w:r>
      <w:r>
        <w:rPr>
          <w:sz w:val="21"/>
        </w:rPr>
        <w:t>，因此V是O</w:t>
      </w:r>
      <w:r>
        <w:rPr>
          <w:sz w:val="21"/>
          <w:vertAlign w:val="subscript"/>
        </w:rPr>
        <w:t>2</w:t>
      </w:r>
      <w:r>
        <w:rPr>
          <w:sz w:val="21"/>
        </w:rPr>
        <w:t>，Ⅳ是[H]，Ⅶ是CO</w:t>
      </w:r>
      <w:r>
        <w:rPr>
          <w:sz w:val="21"/>
          <w:vertAlign w:val="subscript"/>
        </w:rPr>
        <w:t>2</w:t>
      </w:r>
      <w:r>
        <w:rPr>
          <w:sz w:val="21"/>
        </w:rPr>
        <w:t>，Ⅱ（O</w:t>
      </w:r>
      <w:r>
        <w:rPr>
          <w:sz w:val="21"/>
          <w:vertAlign w:val="subscript"/>
        </w:rPr>
        <w:t>2</w:t>
      </w:r>
      <w:r>
        <w:rPr>
          <w:sz w:val="21"/>
        </w:rPr>
        <w:t>）和V（O</w:t>
      </w:r>
      <w:r>
        <w:rPr>
          <w:sz w:val="21"/>
          <w:vertAlign w:val="subscript"/>
        </w:rPr>
        <w:t>2</w:t>
      </w:r>
      <w:r>
        <w:rPr>
          <w:sz w:val="21"/>
        </w:rPr>
        <w:t>）是同一种物质，Ⅲ（CO</w:t>
      </w:r>
      <w:r>
        <w:rPr>
          <w:sz w:val="21"/>
          <w:vertAlign w:val="subscript"/>
        </w:rPr>
        <w:t>2</w:t>
      </w:r>
      <w:r>
        <w:rPr>
          <w:sz w:val="21"/>
        </w:rPr>
        <w:t>）和Ⅶ（CO</w:t>
      </w:r>
      <w:r>
        <w:rPr>
          <w:sz w:val="21"/>
          <w:vertAlign w:val="subscript"/>
        </w:rPr>
        <w:t>2</w:t>
      </w:r>
      <w:r>
        <w:rPr>
          <w:sz w:val="21"/>
        </w:rPr>
        <w:t>）不是同一种物质，Ⅰ是NADPH，是还原性辅酶Ⅰ，Ⅳ是NADH，是还原性辅酶Ⅱ，是不同物质，B正确；</w:t>
      </w:r>
    </w:p>
    <w:p w14:paraId="576DE1BA">
      <w:pPr>
        <w:shd w:val="clear" w:color="auto" w:fill="auto"/>
        <w:spacing w:line="240" w:lineRule="auto"/>
        <w:jc w:val="left"/>
        <w:textAlignment w:val="center"/>
        <w:rPr>
          <w:sz w:val="21"/>
        </w:rPr>
      </w:pPr>
      <w:r>
        <w:rPr>
          <w:sz w:val="21"/>
        </w:rPr>
        <w:t>C、据图可知，①表示CO</w:t>
      </w:r>
      <w:r>
        <w:rPr>
          <w:sz w:val="21"/>
          <w:vertAlign w:val="subscript"/>
        </w:rPr>
        <w:t>2</w:t>
      </w:r>
      <w:r>
        <w:rPr>
          <w:sz w:val="21"/>
        </w:rPr>
        <w:t>固定，②表示C</w:t>
      </w:r>
      <w:r>
        <w:rPr>
          <w:sz w:val="21"/>
          <w:vertAlign w:val="subscript"/>
        </w:rPr>
        <w:t>3</w:t>
      </w:r>
      <w:r>
        <w:rPr>
          <w:sz w:val="21"/>
        </w:rPr>
        <w:t>还原，③表示有氧呼吸第一阶段，④表示有氧呼吸第三阶段，⑤表示有氧呼吸第二阶段，其中②过程伴随着ATP的水解，③④⑤过程伴随着ATP的合成，③合成的ATP不能被②利用，C错误；</w:t>
      </w:r>
    </w:p>
    <w:p w14:paraId="463F0EB8">
      <w:pPr>
        <w:shd w:val="clear" w:color="auto" w:fill="auto"/>
        <w:spacing w:line="240" w:lineRule="auto"/>
        <w:jc w:val="left"/>
        <w:textAlignment w:val="center"/>
        <w:rPr>
          <w:sz w:val="21"/>
        </w:rPr>
      </w:pPr>
      <w:r>
        <w:rPr>
          <w:sz w:val="21"/>
        </w:rPr>
        <w:t>D、呼吸作用一方面能为生物体的生命活动提供能量，另一方面能为体内其它化合物的合成提供原料，光合作用的产物脂肪、糖类、蛋白质的合成或分解都可通过细胞呼吸联系起来，D正确。</w:t>
      </w:r>
    </w:p>
    <w:p w14:paraId="176D0E2C">
      <w:pPr>
        <w:shd w:val="clear" w:color="auto" w:fill="auto"/>
        <w:spacing w:line="240" w:lineRule="auto"/>
        <w:jc w:val="left"/>
        <w:textAlignment w:val="center"/>
        <w:rPr>
          <w:sz w:val="21"/>
        </w:rPr>
      </w:pPr>
      <w:r>
        <w:rPr>
          <w:sz w:val="21"/>
        </w:rPr>
        <w:t>故选AC。</w:t>
      </w:r>
    </w:p>
    <w:p w14:paraId="0F9A5533">
      <w:pPr>
        <w:shd w:val="clear" w:color="auto" w:fill="auto"/>
        <w:spacing w:line="240" w:lineRule="auto"/>
        <w:jc w:val="left"/>
        <w:textAlignment w:val="center"/>
        <w:rPr>
          <w:sz w:val="21"/>
        </w:rPr>
      </w:pPr>
      <w:r>
        <w:rPr>
          <w:sz w:val="21"/>
        </w:rPr>
        <w:t>16．BCD</w:t>
      </w:r>
    </w:p>
    <w:p w14:paraId="45A1ABF9">
      <w:pPr>
        <w:shd w:val="clear" w:color="auto" w:fill="auto"/>
        <w:spacing w:line="240" w:lineRule="auto"/>
        <w:jc w:val="left"/>
        <w:textAlignment w:val="center"/>
        <w:rPr>
          <w:sz w:val="21"/>
        </w:rPr>
      </w:pPr>
      <w:r>
        <w:rPr>
          <w:sz w:val="21"/>
        </w:rPr>
        <w:t>【分析】分析题意，本实验目的是探究突变型胚胎无法发育的机理，结合图表可知，实验的自变量是胚胎细胞的类型和发育时间，因变量是DNA的相对含量即细胞数目。</w:t>
      </w:r>
    </w:p>
    <w:p w14:paraId="0A6C512A">
      <w:pPr>
        <w:shd w:val="clear" w:color="auto" w:fill="auto"/>
        <w:spacing w:line="240" w:lineRule="auto"/>
        <w:jc w:val="left"/>
        <w:textAlignment w:val="center"/>
        <w:rPr>
          <w:sz w:val="21"/>
        </w:rPr>
      </w:pPr>
      <w:r>
        <w:rPr>
          <w:sz w:val="21"/>
        </w:rPr>
        <w:t>【详解】A、由题图可知，胚胎细胞中DNA相对含量的峰值主要在200~400波动，20—24 h大多数野生型胚胎细胞中的DNA相对含量为200，表明此时这些细胞处于DNA复制前期而非分裂期，A错误；</w:t>
      </w:r>
    </w:p>
    <w:p w14:paraId="597DAA79">
      <w:pPr>
        <w:shd w:val="clear" w:color="auto" w:fill="auto"/>
        <w:spacing w:line="240" w:lineRule="auto"/>
        <w:jc w:val="left"/>
        <w:textAlignment w:val="center"/>
        <w:rPr>
          <w:sz w:val="21"/>
        </w:rPr>
      </w:pPr>
      <w:r>
        <w:rPr>
          <w:sz w:val="21"/>
        </w:rPr>
        <w:t>B、与20 h相比，22 h的突变型胚胎中更多的细胞的DNA相对含量集中在200~400，说明这些细胞正在进行DNA复制，B正确；</w:t>
      </w:r>
    </w:p>
    <w:p w14:paraId="756EAF60">
      <w:pPr>
        <w:shd w:val="clear" w:color="auto" w:fill="auto"/>
        <w:spacing w:line="240" w:lineRule="auto"/>
        <w:jc w:val="left"/>
        <w:textAlignment w:val="center"/>
        <w:rPr>
          <w:sz w:val="21"/>
        </w:rPr>
      </w:pPr>
      <w:r>
        <w:rPr>
          <w:sz w:val="21"/>
        </w:rPr>
        <w:t>C、24 h时，某些突变型胚胎细胞中的DNA相对含量为0，这些细胞中的DNA可能被相关的DNA酶降解，C正确；</w:t>
      </w:r>
    </w:p>
    <w:p w14:paraId="13974343">
      <w:pPr>
        <w:shd w:val="clear" w:color="auto" w:fill="auto"/>
        <w:spacing w:line="240" w:lineRule="auto"/>
        <w:jc w:val="left"/>
        <w:textAlignment w:val="center"/>
        <w:rPr>
          <w:sz w:val="21"/>
        </w:rPr>
      </w:pPr>
      <w:r>
        <w:rPr>
          <w:sz w:val="21"/>
        </w:rPr>
        <w:t>D、综合A-C选项可推测基因M突变，不能维持细胞的正常增殖，导致突变型胚胎不能正常发育，D正确。</w:t>
      </w:r>
    </w:p>
    <w:p w14:paraId="7CFBB4E9">
      <w:pPr>
        <w:shd w:val="clear" w:color="auto" w:fill="auto"/>
        <w:spacing w:line="240" w:lineRule="auto"/>
        <w:jc w:val="left"/>
        <w:textAlignment w:val="center"/>
        <w:rPr>
          <w:sz w:val="21"/>
        </w:rPr>
      </w:pPr>
      <w:r>
        <w:rPr>
          <w:sz w:val="21"/>
        </w:rPr>
        <w:t>故选BCD。</w:t>
      </w:r>
    </w:p>
    <w:p w14:paraId="11B60547">
      <w:pPr>
        <w:shd w:val="clear" w:color="auto" w:fill="auto"/>
        <w:spacing w:line="240" w:lineRule="auto"/>
        <w:jc w:val="left"/>
        <w:textAlignment w:val="center"/>
        <w:rPr>
          <w:sz w:val="21"/>
        </w:rPr>
      </w:pPr>
      <w:r>
        <w:rPr>
          <w:sz w:val="21"/>
        </w:rPr>
        <w:t>17．BD</w:t>
      </w:r>
    </w:p>
    <w:p w14:paraId="1168B387">
      <w:pPr>
        <w:shd w:val="clear" w:color="auto" w:fill="auto"/>
        <w:spacing w:line="240" w:lineRule="auto"/>
        <w:jc w:val="left"/>
        <w:textAlignment w:val="center"/>
        <w:rPr>
          <w:sz w:val="21"/>
        </w:rPr>
      </w:pPr>
      <w:r>
        <w:rPr>
          <w:sz w:val="21"/>
        </w:rPr>
        <w:t>【分析】体液免疫：病原体侵入机体后，一些病原体被树突状细胞、B细胞等抗原呈递细胞摄取，这为激活B细胞提供了第一个信号，抗原呈递细胞将抗原处理后呈递在细胞表面，然后传递给辅助性T细胞，辅助性T细胞表面的特定分子发生变化并与B细胞结合，这为激活B细胞提供了第二个信号，辅助性T细胞开始分裂、分化，并分泌细胞因子，B细胞受到两个信号的刺激后开始分裂、分化，大部分分化为浆细胞，小部分分化为记忆B细胞，细胞因子促进B细胞的分裂、分化过程，浆细胞产生和分泌大量抗体，抗体可以随体液在全身循环并与这种病原体结合，抗体与病原体结合可以抑制病原体增殖或对人体细胞的黏附。</w:t>
      </w:r>
    </w:p>
    <w:p w14:paraId="3C034150">
      <w:pPr>
        <w:shd w:val="clear" w:color="auto" w:fill="auto"/>
        <w:spacing w:line="240" w:lineRule="auto"/>
        <w:jc w:val="left"/>
        <w:textAlignment w:val="center"/>
        <w:rPr>
          <w:sz w:val="21"/>
        </w:rPr>
      </w:pPr>
      <w:r>
        <w:rPr>
          <w:sz w:val="21"/>
        </w:rPr>
        <w:t>【详解】A、APC包括树突状细胞、巨噬细胞和B细胞等，可以摄取、加工处理抗原，A错误；</w:t>
      </w:r>
    </w:p>
    <w:p w14:paraId="73E06F95">
      <w:pPr>
        <w:shd w:val="clear" w:color="auto" w:fill="auto"/>
        <w:spacing w:line="240" w:lineRule="auto"/>
        <w:jc w:val="left"/>
        <w:textAlignment w:val="center"/>
        <w:rPr>
          <w:sz w:val="21"/>
        </w:rPr>
      </w:pPr>
      <w:r>
        <w:rPr>
          <w:sz w:val="21"/>
        </w:rPr>
        <w:t>B、TIGIT可与抗原呈递细胞（APC）表面的CD155分子，TIGIT发挥作用有利于防止机体自身免疫病的发生，B正确；</w:t>
      </w:r>
    </w:p>
    <w:p w14:paraId="2C60CB78">
      <w:pPr>
        <w:shd w:val="clear" w:color="auto" w:fill="auto"/>
        <w:spacing w:line="240" w:lineRule="auto"/>
        <w:jc w:val="left"/>
        <w:textAlignment w:val="center"/>
        <w:rPr>
          <w:sz w:val="21"/>
        </w:rPr>
      </w:pPr>
      <w:r>
        <w:rPr>
          <w:sz w:val="21"/>
        </w:rPr>
        <w:t>C、CD155分子在肿瘤细胞中的过量表达有促进肿瘤生长的作用，又有帮助肿瘤细胞逃避免疫监视的作用，C错误；</w:t>
      </w:r>
    </w:p>
    <w:p w14:paraId="54740D32">
      <w:pPr>
        <w:shd w:val="clear" w:color="auto" w:fill="auto"/>
        <w:spacing w:line="240" w:lineRule="auto"/>
        <w:jc w:val="left"/>
        <w:textAlignment w:val="center"/>
        <w:rPr>
          <w:sz w:val="21"/>
        </w:rPr>
      </w:pPr>
      <w:r>
        <w:rPr>
          <w:sz w:val="21"/>
        </w:rPr>
        <w:t>D、增强CD226的表达，则TIGIT不能与CD155特异性结合，以及研发使用TIGIT单克隆抗体，均可为肿瘤治疗提供新的思路，D正确。</w:t>
      </w:r>
    </w:p>
    <w:p w14:paraId="7F3377B6">
      <w:pPr>
        <w:shd w:val="clear" w:color="auto" w:fill="auto"/>
        <w:spacing w:line="240" w:lineRule="auto"/>
        <w:jc w:val="left"/>
        <w:textAlignment w:val="center"/>
        <w:rPr>
          <w:sz w:val="21"/>
        </w:rPr>
      </w:pPr>
      <w:r>
        <w:rPr>
          <w:sz w:val="21"/>
        </w:rPr>
        <w:t>故选BD。</w:t>
      </w:r>
    </w:p>
    <w:p w14:paraId="6878E71B">
      <w:pPr>
        <w:shd w:val="clear" w:color="auto" w:fill="auto"/>
        <w:spacing w:line="240" w:lineRule="auto"/>
        <w:jc w:val="left"/>
        <w:textAlignment w:val="center"/>
        <w:rPr>
          <w:sz w:val="21"/>
        </w:rPr>
      </w:pPr>
      <w:r>
        <w:rPr>
          <w:sz w:val="21"/>
        </w:rPr>
        <w:t>18．BCD</w:t>
      </w:r>
    </w:p>
    <w:p w14:paraId="52C5A086">
      <w:pPr>
        <w:shd w:val="clear" w:color="auto" w:fill="auto"/>
        <w:spacing w:line="240" w:lineRule="auto"/>
        <w:jc w:val="left"/>
        <w:textAlignment w:val="center"/>
        <w:rPr>
          <w:sz w:val="21"/>
        </w:rPr>
      </w:pPr>
      <w:r>
        <w:rPr>
          <w:sz w:val="21"/>
        </w:rPr>
        <w:t>【分析】将目的基因导入植物细胞常用农杆菌转化法，农杆菌中的Ti质粒上的T-DNA可整合到受体细胞的染色体DNA上。基因表达载体常包括目的基因、启动子、终止子、标记基因。标记基因是为了鉴别受体细胞中是否含有目的基因，从而将含有目的基因的细胞筛选出来。</w:t>
      </w:r>
    </w:p>
    <w:p w14:paraId="0DA63643">
      <w:pPr>
        <w:shd w:val="clear" w:color="auto" w:fill="auto"/>
        <w:spacing w:line="240" w:lineRule="auto"/>
        <w:jc w:val="left"/>
        <w:textAlignment w:val="center"/>
        <w:rPr>
          <w:sz w:val="21"/>
        </w:rPr>
      </w:pPr>
      <w:r>
        <w:rPr>
          <w:sz w:val="21"/>
        </w:rPr>
        <w:t>【详解】A、mRNA是由基因启动子后面的序列编码而来的，若某基因是从人的细胞内提取 mRNA 经逆转录形成的，则该基因中不含启动子序列，A正确；</w:t>
      </w:r>
    </w:p>
    <w:p w14:paraId="262F3B20">
      <w:pPr>
        <w:shd w:val="clear" w:color="auto" w:fill="auto"/>
        <w:spacing w:line="240" w:lineRule="auto"/>
        <w:jc w:val="left"/>
        <w:textAlignment w:val="center"/>
        <w:rPr>
          <w:sz w:val="21"/>
        </w:rPr>
      </w:pPr>
      <w:r>
        <w:rPr>
          <w:sz w:val="21"/>
        </w:rPr>
        <w:t>B、扩增目的基因时，利用耐高温的DNA聚合酶从引物a、b的3'-端进行子链合成，B错误；</w:t>
      </w:r>
    </w:p>
    <w:p w14:paraId="64D0F714">
      <w:pPr>
        <w:shd w:val="clear" w:color="auto" w:fill="auto"/>
        <w:spacing w:line="240" w:lineRule="auto"/>
        <w:jc w:val="left"/>
        <w:textAlignment w:val="center"/>
        <w:rPr>
          <w:sz w:val="21"/>
        </w:rPr>
      </w:pPr>
      <w:r>
        <w:rPr>
          <w:sz w:val="21"/>
        </w:rPr>
        <w:t>C、导入人血清白蛋白基因的绵羊受体细胞不是乳腺细胞，而是受精卵或早期胚胎细胞，C错误；</w:t>
      </w:r>
    </w:p>
    <w:p w14:paraId="11D1ECB1">
      <w:pPr>
        <w:shd w:val="clear" w:color="auto" w:fill="auto"/>
        <w:spacing w:line="240" w:lineRule="auto"/>
        <w:jc w:val="left"/>
        <w:textAlignment w:val="center"/>
        <w:rPr>
          <w:sz w:val="21"/>
        </w:rPr>
      </w:pPr>
      <w:r>
        <w:rPr>
          <w:sz w:val="21"/>
        </w:rPr>
        <w:t>D、农杆菌中的Ti质粒上的T-DNA可转移至受体细胞，并且整合到受体细胞染色体的DNA上，根据农杆菌的这一特点，将目的基因插入到Ti质粒的T-DNA上，通过农杆菌的转化作用，就可以把目的基因整合到植物细胞中染色体的DNA上，将基因转入动物细胞常用显微注射法，D错误。</w:t>
      </w:r>
    </w:p>
    <w:p w14:paraId="61DD0E7F">
      <w:pPr>
        <w:shd w:val="clear" w:color="auto" w:fill="auto"/>
        <w:spacing w:line="240" w:lineRule="auto"/>
        <w:jc w:val="left"/>
        <w:textAlignment w:val="center"/>
        <w:rPr>
          <w:sz w:val="21"/>
        </w:rPr>
      </w:pPr>
      <w:r>
        <w:rPr>
          <w:sz w:val="21"/>
        </w:rPr>
        <w:t>故选BCD。</w:t>
      </w:r>
    </w:p>
    <w:p w14:paraId="5E7FFB63">
      <w:pPr>
        <w:shd w:val="clear" w:color="auto" w:fill="auto"/>
        <w:spacing w:line="240" w:lineRule="auto"/>
        <w:jc w:val="left"/>
        <w:textAlignment w:val="center"/>
        <w:rPr>
          <w:sz w:val="21"/>
        </w:rPr>
      </w:pPr>
      <w:r>
        <w:rPr>
          <w:sz w:val="21"/>
        </w:rPr>
        <w:t>19．(1)     细胞质     基质     类囊体薄膜     CO</w:t>
      </w:r>
      <w:r>
        <w:rPr>
          <w:sz w:val="21"/>
          <w:vertAlign w:val="subscript"/>
        </w:rPr>
        <w:t>2</w:t>
      </w:r>
      <w:r>
        <w:rPr>
          <w:sz w:val="21"/>
        </w:rPr>
        <w:t>的固定     NADPH     C5     吸水涨破</w:t>
      </w:r>
    </w:p>
    <w:p w14:paraId="0E797027">
      <w:pPr>
        <w:shd w:val="clear" w:color="auto" w:fill="auto"/>
        <w:spacing w:line="240" w:lineRule="auto"/>
        <w:jc w:val="left"/>
        <w:textAlignment w:val="center"/>
        <w:rPr>
          <w:sz w:val="21"/>
        </w:rPr>
      </w:pPr>
      <w:r>
        <w:rPr>
          <w:sz w:val="21"/>
        </w:rPr>
        <w:t>(2)     温度为36℃时的净光合速率低于温度为12℃、26℃和30℃的净光合速率      光合作用酶的最适温度比呼吸作用酶低，因此26℃时光合作用酶活性高于呼吸作用酶；CO</w:t>
      </w:r>
      <w:r>
        <w:rPr>
          <w:sz w:val="21"/>
          <w:vertAlign w:val="subscript"/>
        </w:rPr>
        <w:t>2</w:t>
      </w:r>
      <w:r>
        <w:rPr>
          <w:sz w:val="21"/>
        </w:rPr>
        <w:t xml:space="preserve"> 浓度为1.2～1.6mL/L 时，CO</w:t>
      </w:r>
      <w:r>
        <w:rPr>
          <w:sz w:val="21"/>
          <w:vertAlign w:val="subscript"/>
        </w:rPr>
        <w:t>2</w:t>
      </w:r>
      <w:r>
        <w:rPr>
          <w:sz w:val="21"/>
        </w:rPr>
        <w:t xml:space="preserve"> 浓度增高，暗反应速率增大，光合作用合成有机物的速率增大；同时，CO</w:t>
      </w:r>
      <w:r>
        <w:rPr>
          <w:sz w:val="21"/>
          <w:vertAlign w:val="subscript"/>
        </w:rPr>
        <w:t>2</w:t>
      </w:r>
      <w:r>
        <w:rPr>
          <w:sz w:val="21"/>
        </w:rPr>
        <w:t xml:space="preserve"> 浓度高抑制呼吸作用，呼吸速率下降，所以26℃、 CO</w:t>
      </w:r>
      <w:r>
        <w:rPr>
          <w:sz w:val="21"/>
          <w:vertAlign w:val="subscript"/>
        </w:rPr>
        <w:t>2</w:t>
      </w:r>
      <w:r>
        <w:rPr>
          <w:sz w:val="21"/>
        </w:rPr>
        <w:t xml:space="preserve"> 浓度为1.2～1.6mL/L 时，净光合速率显著上升。</w:t>
      </w:r>
    </w:p>
    <w:p w14:paraId="5CAB4C4A">
      <w:pPr>
        <w:shd w:val="clear" w:color="auto" w:fill="auto"/>
        <w:spacing w:line="240" w:lineRule="auto"/>
        <w:jc w:val="left"/>
        <w:textAlignment w:val="center"/>
        <w:rPr>
          <w:sz w:val="21"/>
        </w:rPr>
      </w:pPr>
      <w:r>
        <w:rPr>
          <w:sz w:val="21"/>
        </w:rPr>
        <w:t>【分析】分析图示：细胞核中的DNA通过转录形成RNA，RNA通过核孔出细胞核，进入细胞质，在细胞质中的核糖体上进行翻译形成小亚基，然后小亚基进入叶绿体内。叶绿体中的DNA通过转录形成RNA，在叶绿体中的核糖体上进行翻译形成大亚基。大亚基和小亚基组合形成酶R，催化二氧化碳的固定形成C</w:t>
      </w:r>
      <w:r>
        <w:rPr>
          <w:sz w:val="21"/>
          <w:vertAlign w:val="subscript"/>
        </w:rPr>
        <w:t>3</w:t>
      </w:r>
      <w:r>
        <w:rPr>
          <w:sz w:val="21"/>
        </w:rPr>
        <w:t>。</w:t>
      </w:r>
    </w:p>
    <w:p w14:paraId="2D340F89">
      <w:pPr>
        <w:shd w:val="clear" w:color="auto" w:fill="auto"/>
        <w:spacing w:line="240" w:lineRule="auto"/>
        <w:jc w:val="left"/>
        <w:textAlignment w:val="center"/>
        <w:rPr>
          <w:sz w:val="21"/>
        </w:rPr>
      </w:pPr>
      <w:r>
        <w:rPr>
          <w:sz w:val="21"/>
        </w:rPr>
        <w:t>【详解】（1）①由图1可知，细胞核DNA上编码小亚基的遗传信息转录到RNA上，RNA通过核孔进入细胞质中，在细胞质中的核糖体上翻译形成小亚基，然后小亚基进入叶绿体内。叶绿体编码大亚基的DNA的遗传信息转录到RNA上后，在叶绿体中的核糖体上进行翻译形成大亚基，在叶绿体的基质中小亚基和大亚基组装成有功能的酶R。</w:t>
      </w:r>
    </w:p>
    <w:p w14:paraId="30B5FD19">
      <w:pPr>
        <w:shd w:val="clear" w:color="auto" w:fill="auto"/>
        <w:spacing w:line="240" w:lineRule="auto"/>
        <w:jc w:val="left"/>
        <w:textAlignment w:val="center"/>
        <w:rPr>
          <w:sz w:val="21"/>
        </w:rPr>
      </w:pPr>
      <w:r>
        <w:rPr>
          <w:sz w:val="21"/>
        </w:rPr>
        <w:t>②光合作用过程中光反应阶段合成ATP是在叶绿体的类囊体薄膜上完成的。活化的酶R催化CO</w:t>
      </w:r>
      <w:r>
        <w:rPr>
          <w:sz w:val="21"/>
          <w:vertAlign w:val="subscript"/>
        </w:rPr>
        <w:t>2</w:t>
      </w:r>
      <w:r>
        <w:rPr>
          <w:sz w:val="21"/>
        </w:rPr>
        <w:t>固定产生C</w:t>
      </w:r>
      <w:r>
        <w:rPr>
          <w:sz w:val="21"/>
          <w:vertAlign w:val="subscript"/>
        </w:rPr>
        <w:t>3</w:t>
      </w:r>
      <w:r>
        <w:rPr>
          <w:sz w:val="21"/>
        </w:rPr>
        <w:t>，C</w:t>
      </w:r>
      <w:r>
        <w:rPr>
          <w:sz w:val="21"/>
          <w:vertAlign w:val="subscript"/>
        </w:rPr>
        <w:t>3</w:t>
      </w:r>
      <w:r>
        <w:rPr>
          <w:sz w:val="21"/>
        </w:rPr>
        <w:t>还原需要NADPH作为还原剂。C</w:t>
      </w:r>
      <w:r>
        <w:rPr>
          <w:sz w:val="21"/>
          <w:vertAlign w:val="subscript"/>
        </w:rPr>
        <w:t>3</w:t>
      </w:r>
      <w:r>
        <w:rPr>
          <w:sz w:val="21"/>
        </w:rPr>
        <w:t>的还原产物除了糖类外，还有C</w:t>
      </w:r>
      <w:r>
        <w:rPr>
          <w:sz w:val="21"/>
          <w:vertAlign w:val="subscript"/>
        </w:rPr>
        <w:t>5</w:t>
      </w:r>
      <w:r>
        <w:rPr>
          <w:sz w:val="21"/>
        </w:rPr>
        <w:t>，因此X为C</w:t>
      </w:r>
      <w:r>
        <w:rPr>
          <w:sz w:val="21"/>
          <w:vertAlign w:val="subscript"/>
        </w:rPr>
        <w:t>5</w:t>
      </w:r>
      <w:r>
        <w:rPr>
          <w:sz w:val="21"/>
        </w:rPr>
        <w:t>（五碳化合物）。光合作用合成的糖类，如以大量可溶性糖的形式存在于叶绿体中，则可能使叶绿体内溶液的浓度升高，渗透压增大，进而导致叶绿体吸水涨破。</w:t>
      </w:r>
    </w:p>
    <w:p w14:paraId="1454166B">
      <w:pPr>
        <w:shd w:val="clear" w:color="auto" w:fill="auto"/>
        <w:spacing w:line="240" w:lineRule="auto"/>
        <w:jc w:val="left"/>
        <w:textAlignment w:val="center"/>
        <w:rPr>
          <w:sz w:val="21"/>
        </w:rPr>
      </w:pPr>
      <w:r>
        <w:rPr>
          <w:sz w:val="21"/>
        </w:rPr>
        <w:t>（2）①据图2分析，当环境温度由12℃到26℃再到30℃变化时，甜瓜净光合速率在增大，但当温度为36℃时，甜瓜净光合速率反而下降了，因此甜瓜净光合速率并不与环境温度始终正相关，得出此结论的依据是温度为36℃时的净光合速率低于温度为12℃、26℃和30℃的净光合速率。</w:t>
      </w:r>
    </w:p>
    <w:p w14:paraId="275F1D4E">
      <w:pPr>
        <w:shd w:val="clear" w:color="auto" w:fill="auto"/>
        <w:spacing w:line="240" w:lineRule="auto"/>
        <w:jc w:val="left"/>
        <w:textAlignment w:val="center"/>
        <w:rPr>
          <w:sz w:val="21"/>
        </w:rPr>
      </w:pPr>
      <w:r>
        <w:rPr>
          <w:sz w:val="21"/>
        </w:rPr>
        <w:t>②CO</w:t>
      </w:r>
      <w:r>
        <w:rPr>
          <w:sz w:val="21"/>
          <w:vertAlign w:val="subscript"/>
        </w:rPr>
        <w:t>2</w:t>
      </w:r>
      <w:r>
        <w:rPr>
          <w:sz w:val="21"/>
        </w:rPr>
        <w:t>是光合作用的原料，CO</w:t>
      </w:r>
      <w:r>
        <w:rPr>
          <w:sz w:val="21"/>
          <w:vertAlign w:val="subscript"/>
        </w:rPr>
        <w:t>2</w:t>
      </w:r>
      <w:r>
        <w:rPr>
          <w:sz w:val="21"/>
        </w:rPr>
        <w:t>浓度为1.2～1.6mL/L时，CO</w:t>
      </w:r>
      <w:r>
        <w:rPr>
          <w:sz w:val="21"/>
          <w:vertAlign w:val="subscript"/>
        </w:rPr>
        <w:t>2</w:t>
      </w:r>
      <w:r>
        <w:rPr>
          <w:sz w:val="21"/>
        </w:rPr>
        <w:t xml:space="preserve"> 浓度增高，暗反应速率增大，光合作用合成有机物的速率增大；同时，CO</w:t>
      </w:r>
      <w:r>
        <w:rPr>
          <w:sz w:val="21"/>
          <w:vertAlign w:val="subscript"/>
        </w:rPr>
        <w:t>2</w:t>
      </w:r>
      <w:r>
        <w:rPr>
          <w:sz w:val="21"/>
        </w:rPr>
        <w:t xml:space="preserve"> 浓度高抑制呼吸作用，呼吸速率下降；光合作用酶的最适温度比呼吸作用酶低，因此26℃时光合作用酶活性高于呼吸作用酶，所以26℃、 CO</w:t>
      </w:r>
      <w:r>
        <w:rPr>
          <w:sz w:val="21"/>
          <w:vertAlign w:val="subscript"/>
        </w:rPr>
        <w:t>2</w:t>
      </w:r>
      <w:r>
        <w:rPr>
          <w:sz w:val="21"/>
        </w:rPr>
        <w:t xml:space="preserve"> 浓度为1.2～1.6mL/L 时，净光合速率显著上升。</w:t>
      </w:r>
    </w:p>
    <w:p w14:paraId="6748F627">
      <w:pPr>
        <w:shd w:val="clear" w:color="auto" w:fill="auto"/>
        <w:spacing w:line="240" w:lineRule="auto"/>
        <w:jc w:val="left"/>
        <w:textAlignment w:val="center"/>
        <w:rPr>
          <w:sz w:val="21"/>
        </w:rPr>
      </w:pPr>
      <w:r>
        <w:rPr>
          <w:sz w:val="21"/>
        </w:rPr>
        <w:t>20．(1)（多种联会方式中）染色体联会紊乱</w:t>
      </w:r>
    </w:p>
    <w:p w14:paraId="7E0F3430">
      <w:pPr>
        <w:shd w:val="clear" w:color="auto" w:fill="auto"/>
        <w:spacing w:line="240" w:lineRule="auto"/>
        <w:jc w:val="left"/>
        <w:textAlignment w:val="center"/>
        <w:rPr>
          <w:sz w:val="21"/>
        </w:rPr>
      </w:pPr>
      <w:r>
        <w:rPr>
          <w:sz w:val="21"/>
        </w:rPr>
        <w:t>(2)     染色体组数多/含四个染色体组     基因/遗传     不能     纯化父母本/纯合子</w:t>
      </w:r>
    </w:p>
    <w:p w14:paraId="24511896">
      <w:pPr>
        <w:shd w:val="clear" w:color="auto" w:fill="auto"/>
        <w:spacing w:line="240" w:lineRule="auto"/>
        <w:jc w:val="left"/>
        <w:textAlignment w:val="center"/>
        <w:rPr>
          <w:sz w:val="21"/>
        </w:rPr>
      </w:pPr>
      <w:r>
        <w:rPr>
          <w:sz w:val="21"/>
        </w:rPr>
        <w:t>(3)含有A的花粉具有降解S-RNase的功能，含a的花粉没有此功能</w:t>
      </w:r>
    </w:p>
    <w:p w14:paraId="66E87EA3">
      <w:pPr>
        <w:shd w:val="clear" w:color="auto" w:fill="auto"/>
        <w:spacing w:line="240" w:lineRule="auto"/>
        <w:jc w:val="left"/>
        <w:textAlignment w:val="center"/>
        <w:rPr>
          <w:sz w:val="21"/>
        </w:rPr>
      </w:pPr>
      <w:r>
        <w:rPr>
          <w:sz w:val="21"/>
        </w:rPr>
        <w:t>(4)     3、4     卵细胞/母本     无     有     萌发/幼苗</w:t>
      </w:r>
    </w:p>
    <w:p w14:paraId="71AF2F3B">
      <w:pPr>
        <w:shd w:val="clear" w:color="auto" w:fill="auto"/>
        <w:spacing w:line="240" w:lineRule="auto"/>
        <w:jc w:val="left"/>
        <w:textAlignment w:val="center"/>
        <w:rPr>
          <w:sz w:val="21"/>
        </w:rPr>
      </w:pPr>
      <w:r>
        <w:rPr>
          <w:sz w:val="21"/>
        </w:rPr>
        <w:t>【分析】1、减数分裂过程一旦发生联会紊乱，无法产生正常的配子，无法进行受精作用，也就无法产生种子。</w:t>
      </w:r>
    </w:p>
    <w:p w14:paraId="321872B2">
      <w:pPr>
        <w:shd w:val="clear" w:color="auto" w:fill="auto"/>
        <w:spacing w:line="240" w:lineRule="auto"/>
        <w:jc w:val="left"/>
        <w:textAlignment w:val="center"/>
        <w:rPr>
          <w:sz w:val="21"/>
        </w:rPr>
      </w:pPr>
      <w:r>
        <w:rPr>
          <w:sz w:val="21"/>
        </w:rPr>
        <w:t>2、自交不亲和特指雌雄蕊均可育的两性花植物在自花授粉后不能产生合子的现象，是一种重要的防止近亲繁殖、促进变异的遗传机制，也称种内不亲和，自交不亲和是植物在长期进化中形成的维持基因（遗传）多样性的一种策略。</w:t>
      </w:r>
    </w:p>
    <w:p w14:paraId="7866C9DA">
      <w:pPr>
        <w:shd w:val="clear" w:color="auto" w:fill="auto"/>
        <w:spacing w:line="240" w:lineRule="auto"/>
        <w:jc w:val="left"/>
        <w:textAlignment w:val="center"/>
        <w:rPr>
          <w:sz w:val="21"/>
        </w:rPr>
      </w:pPr>
      <w:r>
        <w:rPr>
          <w:sz w:val="21"/>
        </w:rPr>
        <w:t>3、单倍体生物是由未经受精作用的配子发育成的个体，其染色体数为本物种配子染色体数。</w:t>
      </w:r>
    </w:p>
    <w:p w14:paraId="6A63D6C6">
      <w:pPr>
        <w:shd w:val="clear" w:color="auto" w:fill="auto"/>
        <w:spacing w:line="240" w:lineRule="auto"/>
        <w:jc w:val="left"/>
        <w:textAlignment w:val="center"/>
        <w:rPr>
          <w:sz w:val="21"/>
        </w:rPr>
      </w:pPr>
      <w:r>
        <w:rPr>
          <w:sz w:val="21"/>
        </w:rPr>
        <w:t>【详解】（1）四倍体马铃薯减数分裂时同源染色体会出现“3+1”、“2+2”、“2+1+1”等多种联会方式，说明减数分裂过程会发生联会紊乱，无法产生正常的配子，无法进行受精作用，导致结实率低，难以获得纯合亲本进行杂交，种子繁殖非常困难。</w:t>
      </w:r>
    </w:p>
    <w:p w14:paraId="0E4D20E7">
      <w:pPr>
        <w:shd w:val="clear" w:color="auto" w:fill="auto"/>
        <w:spacing w:line="240" w:lineRule="auto"/>
        <w:jc w:val="left"/>
        <w:textAlignment w:val="center"/>
        <w:rPr>
          <w:sz w:val="21"/>
        </w:rPr>
      </w:pPr>
      <w:r>
        <w:rPr>
          <w:sz w:val="21"/>
        </w:rPr>
        <w:t>（2）①马铃薯野生种是二倍体，栽培种是四倍体，染色体组数多，减数分裂过程会发生联会紊乱，无法产生正常的配子，难以进行杂交育种。</w:t>
      </w:r>
    </w:p>
    <w:p w14:paraId="4FE7E94D">
      <w:pPr>
        <w:shd w:val="clear" w:color="auto" w:fill="auto"/>
        <w:spacing w:line="240" w:lineRule="auto"/>
        <w:jc w:val="left"/>
        <w:textAlignment w:val="center"/>
        <w:rPr>
          <w:sz w:val="21"/>
        </w:rPr>
      </w:pPr>
      <w:r>
        <w:rPr>
          <w:sz w:val="21"/>
        </w:rPr>
        <w:t>②自交不亲和特指雌雄蕊均可育的两性花植物在自花授粉后不能产生合子的现象，是一种重要的防止近亲繁殖、促进变异的遗传机制，也称种内不亲和，自交不亲和是植物在长期进化中形成的维持基因（遗传）多样性的一种策略。</w:t>
      </w:r>
    </w:p>
    <w:p w14:paraId="7C5562D1">
      <w:pPr>
        <w:shd w:val="clear" w:color="auto" w:fill="auto"/>
        <w:spacing w:line="240" w:lineRule="auto"/>
        <w:jc w:val="left"/>
        <w:textAlignment w:val="center"/>
        <w:rPr>
          <w:sz w:val="21"/>
        </w:rPr>
      </w:pPr>
      <w:r>
        <w:rPr>
          <w:sz w:val="21"/>
        </w:rPr>
        <w:t>二倍体马铃薯繁殖种子自交不亲和，S-RNase是一种毒性蛋白，过多会引起花粉管生长停滞，特定的S-RNase能被SLF识别并降解，则说明同一植株的S-RNase不能被SLF降解。</w:t>
      </w:r>
    </w:p>
    <w:p w14:paraId="0E77F1D0">
      <w:pPr>
        <w:shd w:val="clear" w:color="auto" w:fill="auto"/>
        <w:spacing w:line="240" w:lineRule="auto"/>
        <w:jc w:val="left"/>
        <w:textAlignment w:val="center"/>
        <w:rPr>
          <w:sz w:val="21"/>
        </w:rPr>
      </w:pPr>
      <w:r>
        <w:rPr>
          <w:sz w:val="21"/>
        </w:rPr>
        <w:t>结合上述野生种自交不亲和的机理，降低了基因的纯合率，利于保持高度杂合性，野生种无法获得纯化父母本（纯合子），限制了野生种杂交育种进程。</w:t>
      </w:r>
    </w:p>
    <w:p w14:paraId="593813F2">
      <w:pPr>
        <w:shd w:val="clear" w:color="auto" w:fill="auto"/>
        <w:spacing w:line="240" w:lineRule="auto"/>
        <w:jc w:val="left"/>
        <w:textAlignment w:val="center"/>
        <w:rPr>
          <w:sz w:val="21"/>
        </w:rPr>
      </w:pPr>
      <w:r>
        <w:rPr>
          <w:sz w:val="21"/>
        </w:rPr>
        <w:t>（3）杂合子Aa自交，后代只有AA和 Aa，比例接近1:1，同时A蛋白可广泛识别并降解多种类型的S-RNase，说明a基因不能降解S-RNase，a花粉没有受精能力。</w:t>
      </w:r>
    </w:p>
    <w:p w14:paraId="0DB0F04E">
      <w:pPr>
        <w:shd w:val="clear" w:color="auto" w:fill="auto"/>
        <w:spacing w:line="240" w:lineRule="auto"/>
        <w:jc w:val="left"/>
        <w:textAlignment w:val="center"/>
        <w:rPr>
          <w:sz w:val="21"/>
        </w:rPr>
      </w:pPr>
      <w:r>
        <w:rPr>
          <w:sz w:val="21"/>
        </w:rPr>
        <w:t>（4）①据图可知2号和3号的条带位置相同，说明F</w:t>
      </w:r>
      <w:r>
        <w:rPr>
          <w:sz w:val="21"/>
          <w:vertAlign w:val="subscript"/>
        </w:rPr>
        <w:t>1</w:t>
      </w:r>
      <w:r>
        <w:rPr>
          <w:sz w:val="21"/>
        </w:rPr>
        <w:t>单倍体胚是由卵细胞发育而来，确定F</w:t>
      </w:r>
      <w:r>
        <w:rPr>
          <w:sz w:val="21"/>
          <w:vertAlign w:val="subscript"/>
        </w:rPr>
        <w:t>1</w:t>
      </w:r>
      <w:r>
        <w:rPr>
          <w:sz w:val="21"/>
        </w:rPr>
        <w:t>单倍体胚对应电泳图中的数字3；F</w:t>
      </w:r>
      <w:r>
        <w:rPr>
          <w:sz w:val="21"/>
          <w:vertAlign w:val="subscript"/>
        </w:rPr>
        <w:t>1</w:t>
      </w:r>
      <w:r>
        <w:rPr>
          <w:sz w:val="21"/>
        </w:rPr>
        <w:t>二倍体胚具备父本和母本的基因，因此F</w:t>
      </w:r>
      <w:r>
        <w:rPr>
          <w:sz w:val="21"/>
          <w:vertAlign w:val="subscript"/>
        </w:rPr>
        <w:t>1</w:t>
      </w:r>
      <w:r>
        <w:rPr>
          <w:sz w:val="21"/>
        </w:rPr>
        <w:t>二倍体胚对应电泳图中的数字4。</w:t>
      </w:r>
    </w:p>
    <w:p w14:paraId="1E02EFCA">
      <w:pPr>
        <w:shd w:val="clear" w:color="auto" w:fill="auto"/>
        <w:spacing w:line="240" w:lineRule="auto"/>
        <w:jc w:val="left"/>
        <w:textAlignment w:val="center"/>
        <w:rPr>
          <w:sz w:val="21"/>
        </w:rPr>
      </w:pPr>
      <w:r>
        <w:rPr>
          <w:sz w:val="21"/>
        </w:rPr>
        <w:t>②RFP是红色荧光蛋白基因，转基因纯合子S</w:t>
      </w:r>
      <w:r>
        <w:rPr>
          <w:sz w:val="21"/>
          <w:vertAlign w:val="superscript"/>
        </w:rPr>
        <w:t>+</w:t>
      </w:r>
      <w:r>
        <w:rPr>
          <w:sz w:val="21"/>
        </w:rPr>
        <w:t>给普通二倍体马铃薯授粉，，转基因纯合子S</w:t>
      </w:r>
      <w:r>
        <w:rPr>
          <w:sz w:val="21"/>
          <w:vertAlign w:val="superscript"/>
        </w:rPr>
        <w:t>+</w:t>
      </w:r>
      <w:r>
        <w:rPr>
          <w:sz w:val="21"/>
        </w:rPr>
        <w:t>提供带有红色荧光蛋白基因RFP的精子，普通二倍体马铃薯提供普通的卵子，胚是来源于卵细胞的单倍体胚，不发出红色荧光，胚乳是由1个精子和2个极核结合成的三倍体，会发出红色荧光，则选取胚乳能够发出红色荧光，但胚不发出红色荧光的种子即为单倍体种子。</w:t>
      </w:r>
    </w:p>
    <w:p w14:paraId="2F9DB15B">
      <w:pPr>
        <w:shd w:val="clear" w:color="auto" w:fill="auto"/>
        <w:spacing w:line="240" w:lineRule="auto"/>
        <w:jc w:val="left"/>
        <w:textAlignment w:val="center"/>
        <w:rPr>
          <w:sz w:val="21"/>
        </w:rPr>
      </w:pPr>
      <w:r>
        <w:rPr>
          <w:sz w:val="21"/>
        </w:rPr>
        <w:t>③萌发种子或幼苗有丝分裂旺盛，用秋水仙素处理，可以获得染色体数目加倍的植株，可以筛选出野生种自交亲和纯合子。</w:t>
      </w:r>
    </w:p>
    <w:p w14:paraId="0E425BE0">
      <w:pPr>
        <w:shd w:val="clear" w:color="auto" w:fill="auto"/>
        <w:spacing w:line="240" w:lineRule="auto"/>
        <w:jc w:val="left"/>
        <w:textAlignment w:val="center"/>
        <w:rPr>
          <w:sz w:val="21"/>
        </w:rPr>
      </w:pPr>
      <w:r>
        <w:rPr>
          <w:sz w:val="21"/>
        </w:rPr>
        <w:t>21．(1)     阳离子通道开放     协助扩散     由声音信号转换为电信号     Ca</w:t>
      </w:r>
      <w:r>
        <w:rPr>
          <w:sz w:val="21"/>
          <w:vertAlign w:val="superscript"/>
        </w:rPr>
        <w:t>2+</w:t>
      </w:r>
      <w:r>
        <w:rPr>
          <w:sz w:val="21"/>
        </w:rPr>
        <w:t>内流</w:t>
      </w:r>
    </w:p>
    <w:p w14:paraId="52A6E09D">
      <w:pPr>
        <w:shd w:val="clear" w:color="auto" w:fill="auto"/>
        <w:spacing w:line="240" w:lineRule="auto"/>
        <w:jc w:val="left"/>
        <w:textAlignment w:val="center"/>
        <w:rPr>
          <w:sz w:val="21"/>
        </w:rPr>
      </w:pPr>
      <w:r>
        <w:rPr>
          <w:sz w:val="21"/>
        </w:rPr>
        <w:t>(2)     感受器     有利于听毛细胞产生兴奋</w:t>
      </w:r>
    </w:p>
    <w:p w14:paraId="076982DA">
      <w:pPr>
        <w:shd w:val="clear" w:color="auto" w:fill="auto"/>
        <w:spacing w:line="240" w:lineRule="auto"/>
        <w:jc w:val="left"/>
        <w:textAlignment w:val="center"/>
        <w:rPr>
          <w:sz w:val="21"/>
        </w:rPr>
      </w:pPr>
      <w:r>
        <w:rPr>
          <w:sz w:val="21"/>
        </w:rPr>
        <w:t>(3)     耳毒性药物会导致听毛细胞损伤或死亡，进而导致传至大脑皮层的神经冲动减少，造成听力损伤     听觉语言中枢</w:t>
      </w:r>
    </w:p>
    <w:p w14:paraId="07601B35">
      <w:pPr>
        <w:shd w:val="clear" w:color="auto" w:fill="auto"/>
        <w:spacing w:line="240" w:lineRule="auto"/>
        <w:jc w:val="left"/>
        <w:textAlignment w:val="center"/>
        <w:rPr>
          <w:sz w:val="21"/>
        </w:rPr>
      </w:pPr>
      <w:r>
        <w:rPr>
          <w:sz w:val="21"/>
        </w:rPr>
        <w:t>(4)高浓度乳酸抑制细胞毒性T细胞的增殖并促进Treg细胞的增殖，增殖的Treg细胞也会抑制细胞毒性T细胞的增殖，导致机体细胞免疫功能下降</w:t>
      </w:r>
    </w:p>
    <w:p w14:paraId="179C3157">
      <w:pPr>
        <w:shd w:val="clear" w:color="auto" w:fill="auto"/>
        <w:spacing w:line="240" w:lineRule="auto"/>
        <w:jc w:val="left"/>
        <w:textAlignment w:val="center"/>
        <w:rPr>
          <w:sz w:val="21"/>
        </w:rPr>
      </w:pPr>
      <w:r>
        <w:rPr>
          <w:sz w:val="21"/>
        </w:rPr>
        <w:t>【分析】1、人脑的言语区包括W区为书写性语言中枢；V区为视性语言中枢；S区为运动性语言中枢；H区为听性语言中枢。运动性失语症：运动性语言中枢S区受损伤患者可以看懂文字，听懂别人的谈话，但自己却不会讲话，不能用词语表思想；</w:t>
      </w:r>
    </w:p>
    <w:p w14:paraId="1DDB5AEF">
      <w:pPr>
        <w:shd w:val="clear" w:color="auto" w:fill="auto"/>
        <w:spacing w:line="240" w:lineRule="auto"/>
        <w:jc w:val="left"/>
        <w:textAlignment w:val="center"/>
        <w:rPr>
          <w:sz w:val="21"/>
        </w:rPr>
      </w:pPr>
      <w:r>
        <w:rPr>
          <w:sz w:val="21"/>
        </w:rPr>
        <w:t>2、细胞免疫：病原体侵入靶细胞后，被感染的宿主细胞（靶细胞）膜表面某些分子发生变化，细胞毒性T细胞识别这一变化信号，之后开始分裂并分化，形成新的细胞毒性T细胞和记忆细胞，细胞因子能加速这一过程，新形成的细胞毒性T细胞在体液中循环，他们可以识别并接触、裂解被同样病原体感染的靶细胞，靶细胞裂解死亡后，病原体暴露出来，抗体可以与之结合，或被其他细胞吞噬掉。</w:t>
      </w:r>
    </w:p>
    <w:p w14:paraId="2F4F9045">
      <w:pPr>
        <w:shd w:val="clear" w:color="auto" w:fill="auto"/>
        <w:spacing w:line="240" w:lineRule="auto"/>
        <w:jc w:val="left"/>
        <w:textAlignment w:val="center"/>
        <w:rPr>
          <w:sz w:val="21"/>
        </w:rPr>
      </w:pPr>
      <w:r>
        <w:rPr>
          <w:sz w:val="21"/>
        </w:rPr>
        <w:t>【详解】（1）声波振动引起听毛细胞顶部的纤毛弯曲，使阳离子通道开放，根据钾离子顺浓度转运可知，K</w:t>
      </w:r>
      <w:r>
        <w:rPr>
          <w:sz w:val="21"/>
          <w:vertAlign w:val="superscript"/>
        </w:rPr>
        <w:t>+</w:t>
      </w:r>
      <w:r>
        <w:rPr>
          <w:sz w:val="21"/>
        </w:rPr>
        <w:t>通过协助扩散的方式由内淋巴液进入听毛细胞，发生膜电位的改变，产生兴奋，即发生的信号转换情况为由声音信号转换为电信号，产生的兴奋经传导进一步触发听毛细胞底部的Ca</w:t>
      </w:r>
      <w:r>
        <w:rPr>
          <w:sz w:val="21"/>
          <w:vertAlign w:val="superscript"/>
        </w:rPr>
        <w:t>2+</w:t>
      </w:r>
      <w:r>
        <w:rPr>
          <w:sz w:val="21"/>
        </w:rPr>
        <w:t>内流。</w:t>
      </w:r>
    </w:p>
    <w:p w14:paraId="74C168A3">
      <w:pPr>
        <w:shd w:val="clear" w:color="auto" w:fill="auto"/>
        <w:spacing w:line="240" w:lineRule="auto"/>
        <w:jc w:val="left"/>
        <w:textAlignment w:val="center"/>
        <w:rPr>
          <w:sz w:val="21"/>
        </w:rPr>
      </w:pPr>
      <w:r>
        <w:rPr>
          <w:sz w:val="21"/>
        </w:rPr>
        <w:t>（2）听毛细胞属于反射弧中的感受器，蜗管内淋巴液维持高K</w:t>
      </w:r>
      <w:r>
        <w:rPr>
          <w:sz w:val="21"/>
          <w:vertAlign w:val="superscript"/>
        </w:rPr>
        <w:t>+</w:t>
      </w:r>
      <w:r>
        <w:rPr>
          <w:sz w:val="21"/>
        </w:rPr>
        <w:t>状态的意义在与通过协助扩散进入听毛细胞，有利于听毛细胞产生兴奋，从而形成听觉。</w:t>
      </w:r>
    </w:p>
    <w:p w14:paraId="1876C4C2">
      <w:pPr>
        <w:shd w:val="clear" w:color="auto" w:fill="auto"/>
        <w:spacing w:line="240" w:lineRule="auto"/>
        <w:jc w:val="left"/>
        <w:textAlignment w:val="center"/>
        <w:rPr>
          <w:sz w:val="21"/>
        </w:rPr>
      </w:pPr>
      <w:r>
        <w:rPr>
          <w:sz w:val="21"/>
        </w:rPr>
        <w:t>（3）临床治疗发现，博来霉素、甲氨蝶呤氮芥等耳毒性药物，可能导致耳蜗中毒引起感音神经性听力损失（SNHL），题中显示，听毛细胞数量有限，受药物、长时间噪音等因素影响会死亡，据此可推测耳蜗中毒应该是耳毒性药物导致听毛细胞损伤或死亡，进而导致传导至大脑皮层的神经冲动减少，造成听力损伤；个别学会语言前就发生SNHL的患者在植入人工耳蜗后，仍然出现了理解障碍，即不能听懂语言，而听性语言中枢H的作用是帮助我们听懂语言的，由此可见出现这种现象的原因是该患者的听觉语言中枢未正常发育导致的。</w:t>
      </w:r>
    </w:p>
    <w:p w14:paraId="29052436">
      <w:pPr>
        <w:shd w:val="clear" w:color="auto" w:fill="auto"/>
        <w:spacing w:line="240" w:lineRule="auto"/>
        <w:jc w:val="left"/>
        <w:textAlignment w:val="center"/>
        <w:rPr>
          <w:sz w:val="21"/>
        </w:rPr>
      </w:pPr>
      <w:r>
        <w:rPr>
          <w:sz w:val="21"/>
        </w:rPr>
        <w:t>（4）免疫治疗是一种治疗癌症的新兴方法，可通过激活机体的细胞免疫杀灭肿瘤细胞，内淋巴囊肿瘤细胞生活的微环境中存在高浓度乳酸，且实验数据显示，随着乳酸浓度的上升，细胞毒性T细胞的分裂指数下降，且细胞毒性T细胞是杀灭肿瘤细胞的关键细胞，同时随着乳酸浓度的上升，Treg细胞分裂指数有上升的趋势，而该细胞能抑制T细胞增殖和细胞因子的分泌，进而抑制机体免疫，因此免疫疗法对内淋巴囊肿瘤的治疗效果不佳。</w:t>
      </w:r>
    </w:p>
    <w:p w14:paraId="467ADDC8">
      <w:pPr>
        <w:shd w:val="clear" w:color="auto" w:fill="auto"/>
        <w:spacing w:line="240" w:lineRule="auto"/>
        <w:jc w:val="left"/>
        <w:textAlignment w:val="center"/>
        <w:rPr>
          <w:sz w:val="21"/>
        </w:rPr>
      </w:pPr>
      <w:r>
        <w:rPr>
          <w:sz w:val="21"/>
        </w:rPr>
        <w:t>22．(1)     细胞因子     分裂（增殖）分化</w:t>
      </w:r>
    </w:p>
    <w:p w14:paraId="2A460693">
      <w:pPr>
        <w:shd w:val="clear" w:color="auto" w:fill="auto"/>
        <w:spacing w:line="240" w:lineRule="auto"/>
        <w:jc w:val="left"/>
        <w:textAlignment w:val="center"/>
        <w:rPr>
          <w:sz w:val="21"/>
        </w:rPr>
      </w:pPr>
      <w:r>
        <w:rPr>
          <w:sz w:val="21"/>
        </w:rPr>
        <w:t>(2)     LN6     对F0转入红色荧光蛋白基因，对LN6转入绿色荧光蛋白基因，重复上述实验。</w:t>
      </w:r>
    </w:p>
    <w:p w14:paraId="7A56C30D">
      <w:pPr>
        <w:shd w:val="clear" w:color="auto" w:fill="auto"/>
        <w:spacing w:line="240" w:lineRule="auto"/>
        <w:jc w:val="left"/>
        <w:textAlignment w:val="center"/>
        <w:rPr>
          <w:sz w:val="21"/>
        </w:rPr>
      </w:pPr>
      <w:r>
        <w:rPr>
          <w:sz w:val="21"/>
        </w:rPr>
        <w:t xml:space="preserve">(3)     低表达     </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4550"/>
        <w:gridCol w:w="2040"/>
        <w:gridCol w:w="1957"/>
      </w:tblGrid>
      <w:tr w14:paraId="28BCA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41833B2">
            <w:pPr>
              <w:shd w:val="clear" w:color="auto" w:fill="auto"/>
              <w:spacing w:line="240" w:lineRule="auto"/>
              <w:jc w:val="center"/>
              <w:textAlignment w:val="center"/>
              <w:rPr>
                <w:sz w:val="21"/>
              </w:rPr>
            </w:pPr>
            <w:r>
              <w:rPr>
                <w:sz w:val="21"/>
              </w:rPr>
              <w:t>肿瘤细胞的类型</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0BFF345">
            <w:pPr>
              <w:shd w:val="clear" w:color="auto" w:fill="auto"/>
              <w:spacing w:line="240" w:lineRule="auto"/>
              <w:jc w:val="center"/>
              <w:textAlignment w:val="center"/>
              <w:rPr>
                <w:sz w:val="21"/>
              </w:rPr>
            </w:pPr>
            <w:r>
              <w:rPr>
                <w:sz w:val="21"/>
              </w:rPr>
              <w:t>MHC-1分子表达量</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50DA8D4">
            <w:pPr>
              <w:shd w:val="clear" w:color="auto" w:fill="auto"/>
              <w:spacing w:line="240" w:lineRule="auto"/>
              <w:jc w:val="center"/>
              <w:textAlignment w:val="center"/>
              <w:rPr>
                <w:sz w:val="21"/>
              </w:rPr>
            </w:pPr>
            <w:r>
              <w:rPr>
                <w:sz w:val="21"/>
              </w:rPr>
              <w:t>PD-L1分子表达量</w:t>
            </w:r>
          </w:p>
        </w:tc>
      </w:tr>
      <w:tr w14:paraId="25771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0824F23">
            <w:pPr>
              <w:shd w:val="clear" w:color="auto" w:fill="auto"/>
              <w:spacing w:line="240" w:lineRule="auto"/>
              <w:jc w:val="center"/>
              <w:textAlignment w:val="center"/>
              <w:rPr>
                <w:sz w:val="21"/>
              </w:rPr>
            </w:pPr>
            <w:r>
              <w:rPr>
                <w:sz w:val="21"/>
              </w:rPr>
              <w:t>来自于正常小鼠的淋巴结转移瘤</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ECC0405">
            <w:pPr>
              <w:shd w:val="clear" w:color="auto" w:fill="auto"/>
              <w:spacing w:line="240" w:lineRule="auto"/>
              <w:jc w:val="left"/>
              <w:textAlignment w:val="center"/>
              <w:rPr>
                <w:sz w:val="21"/>
              </w:rPr>
            </w:pPr>
            <w:r>
              <w:rPr>
                <w:sz w:val="21"/>
              </w:rPr>
              <w:t>高</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B61AA00">
            <w:pPr>
              <w:shd w:val="clear" w:color="auto" w:fill="auto"/>
              <w:spacing w:line="240" w:lineRule="auto"/>
              <w:jc w:val="left"/>
              <w:textAlignment w:val="center"/>
              <w:rPr>
                <w:sz w:val="21"/>
              </w:rPr>
            </w:pPr>
            <w:r>
              <w:rPr>
                <w:sz w:val="21"/>
              </w:rPr>
              <w:t>高</w:t>
            </w:r>
          </w:p>
        </w:tc>
      </w:tr>
      <w:tr w14:paraId="6D4AA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05B5B26">
            <w:pPr>
              <w:shd w:val="clear" w:color="auto" w:fill="auto"/>
              <w:spacing w:line="240" w:lineRule="auto"/>
              <w:jc w:val="center"/>
              <w:textAlignment w:val="center"/>
              <w:rPr>
                <w:sz w:val="21"/>
              </w:rPr>
            </w:pPr>
            <w:r>
              <w:rPr>
                <w:sz w:val="21"/>
              </w:rPr>
              <w:t>来自于T细胞缺失小鼠的淋巴结转移瘤</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01A49DB">
            <w:pPr>
              <w:shd w:val="clear" w:color="auto" w:fill="auto"/>
              <w:spacing w:line="240" w:lineRule="auto"/>
              <w:jc w:val="left"/>
              <w:textAlignment w:val="center"/>
              <w:rPr>
                <w:sz w:val="21"/>
              </w:rPr>
            </w:pPr>
            <w:r>
              <w:rPr>
                <w:sz w:val="21"/>
              </w:rPr>
              <w:t>高</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7063EDE">
            <w:pPr>
              <w:shd w:val="clear" w:color="auto" w:fill="auto"/>
              <w:spacing w:line="240" w:lineRule="auto"/>
              <w:jc w:val="left"/>
              <w:textAlignment w:val="center"/>
              <w:rPr>
                <w:sz w:val="21"/>
              </w:rPr>
            </w:pPr>
            <w:r>
              <w:rPr>
                <w:sz w:val="21"/>
              </w:rPr>
              <w:t>低（给出）</w:t>
            </w:r>
          </w:p>
        </w:tc>
      </w:tr>
      <w:tr w14:paraId="771D1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DEF2FE3">
            <w:pPr>
              <w:shd w:val="clear" w:color="auto" w:fill="auto"/>
              <w:spacing w:line="240" w:lineRule="auto"/>
              <w:jc w:val="center"/>
              <w:textAlignment w:val="center"/>
              <w:rPr>
                <w:sz w:val="21"/>
              </w:rPr>
            </w:pPr>
            <w:r>
              <w:rPr>
                <w:sz w:val="21"/>
              </w:rPr>
              <w:t>来自于T和NK细胞缺失小鼠的淋巴结转移瘤</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5638833">
            <w:pPr>
              <w:shd w:val="clear" w:color="auto" w:fill="auto"/>
              <w:spacing w:line="240" w:lineRule="auto"/>
              <w:jc w:val="left"/>
              <w:textAlignment w:val="center"/>
              <w:rPr>
                <w:sz w:val="21"/>
              </w:rPr>
            </w:pPr>
            <w:r>
              <w:rPr>
                <w:sz w:val="21"/>
              </w:rPr>
              <w:t>低（给出）</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C804A1B">
            <w:pPr>
              <w:shd w:val="clear" w:color="auto" w:fill="auto"/>
              <w:spacing w:line="240" w:lineRule="auto"/>
              <w:jc w:val="left"/>
              <w:textAlignment w:val="center"/>
              <w:rPr>
                <w:sz w:val="21"/>
              </w:rPr>
            </w:pPr>
            <w:r>
              <w:rPr>
                <w:sz w:val="21"/>
              </w:rPr>
              <w:t>低</w:t>
            </w:r>
          </w:p>
        </w:tc>
      </w:tr>
    </w:tbl>
    <w:p w14:paraId="74392A26">
      <w:pPr>
        <w:shd w:val="clear" w:color="auto" w:fill="auto"/>
        <w:spacing w:line="240" w:lineRule="auto"/>
        <w:jc w:val="left"/>
        <w:textAlignment w:val="center"/>
        <w:rPr>
          <w:sz w:val="21"/>
        </w:rPr>
      </w:pPr>
    </w:p>
    <w:p w14:paraId="3330401D">
      <w:pPr>
        <w:shd w:val="clear" w:color="auto" w:fill="auto"/>
        <w:spacing w:line="240" w:lineRule="auto"/>
        <w:jc w:val="left"/>
        <w:textAlignment w:val="center"/>
        <w:rPr>
          <w:sz w:val="21"/>
        </w:rPr>
      </w:pPr>
      <w:r>
        <w:rPr>
          <w:sz w:val="21"/>
        </w:rPr>
        <w:t>(4)     促进     原位瘤细胞发生淋巴结转移后诱导机体释放的TGF-β增多，TGF-β促进调节性T细胞增殖，后者抑制辅助T细胞的功能，抑制机体的体液免疫和细胞免疫功能，从而促进瘤细胞的远端转移。</w:t>
      </w:r>
    </w:p>
    <w:p w14:paraId="0D69FCC6">
      <w:pPr>
        <w:shd w:val="clear" w:color="auto" w:fill="auto"/>
        <w:spacing w:line="240" w:lineRule="auto"/>
        <w:jc w:val="left"/>
        <w:textAlignment w:val="center"/>
        <w:rPr>
          <w:sz w:val="21"/>
        </w:rPr>
      </w:pPr>
      <w:r>
        <w:rPr>
          <w:sz w:val="21"/>
        </w:rPr>
        <w:t>【分析】辅助性T细胞能分泌细胞因子，加强免疫效应，辅助性T细胞即能参加体液免疫和细胞免疫。NK细胞通过识别低表达的MHC-1杀伤瘤细胞，所以正常小鼠的淋巴结转移瘤MHC-1分子表达量高，从而抑制NK和T细胞的杀伤作用，PD-L1可与T细胞表面的特定蛋白结合，抑制其杀伤作用。图2可知:种LN6野生型小鼠体内小鼠血清中的TGF-β浓度和瘤细胞远端转移率高于接种FO野生型小鼠。</w:t>
      </w:r>
    </w:p>
    <w:p w14:paraId="644E2E19">
      <w:pPr>
        <w:shd w:val="clear" w:color="auto" w:fill="auto"/>
        <w:spacing w:line="240" w:lineRule="auto"/>
        <w:jc w:val="left"/>
        <w:textAlignment w:val="center"/>
        <w:rPr>
          <w:sz w:val="21"/>
        </w:rPr>
      </w:pPr>
      <w:r>
        <w:rPr>
          <w:sz w:val="21"/>
        </w:rPr>
        <w:t>【详解】（1）辅助性T细胞能分泌细胞因子，加强免疫效应，细胞毒性T细胞在辅助性T细胞分泌的细胞因子的作用下，经分裂（增殖)分化过程产生新的细胞毒性T细胞裂解瘤细胞。</w:t>
      </w:r>
    </w:p>
    <w:p w14:paraId="28154456">
      <w:pPr>
        <w:shd w:val="clear" w:color="auto" w:fill="auto"/>
        <w:spacing w:line="240" w:lineRule="auto"/>
        <w:jc w:val="left"/>
        <w:textAlignment w:val="center"/>
        <w:rPr>
          <w:sz w:val="21"/>
        </w:rPr>
      </w:pPr>
      <w:r>
        <w:rPr>
          <w:sz w:val="21"/>
        </w:rPr>
        <w:t>（2）①由图1可知，每组小鼠的红色荧光细胞的百分比都比绿色荧光蛋白细胞的百分比高，FO和LN6的增殖能力无显著差异，图1结果说明LN6向淋巴结转移的能力更强。</w:t>
      </w:r>
    </w:p>
    <w:p w14:paraId="03A16923">
      <w:pPr>
        <w:shd w:val="clear" w:color="auto" w:fill="auto"/>
        <w:spacing w:line="240" w:lineRule="auto"/>
        <w:jc w:val="left"/>
        <w:textAlignment w:val="center"/>
        <w:rPr>
          <w:sz w:val="21"/>
        </w:rPr>
      </w:pPr>
      <w:r>
        <w:rPr>
          <w:sz w:val="21"/>
        </w:rPr>
        <w:t>②为排除红绿荧光蛋白可能存在的检测差异干扰实验结果，需增设一组实验，大致思路为对F0转入红色荧光蛋白基因，对LN6转入绿色荧光蛋白基因，重复上述实验。</w:t>
      </w:r>
    </w:p>
    <w:p w14:paraId="55B11565">
      <w:pPr>
        <w:shd w:val="clear" w:color="auto" w:fill="auto"/>
        <w:spacing w:line="240" w:lineRule="auto"/>
        <w:jc w:val="left"/>
        <w:textAlignment w:val="center"/>
        <w:rPr>
          <w:sz w:val="21"/>
        </w:rPr>
      </w:pPr>
      <w:r>
        <w:rPr>
          <w:sz w:val="21"/>
        </w:rPr>
        <w:t>（3）(①F0中编码MHC-1分子关键蛋白的基因敲除，MHC-1分子关键蛋白减少，发现其向淋巴结转移的能力降低，但去除该小鼠的NK细胞后其转移能力恢复。说明NK细胞通过识别低表达的MHC-1杀伤瘤细胞。</w:t>
      </w:r>
    </w:p>
    <w:p w14:paraId="432620CF">
      <w:pPr>
        <w:shd w:val="clear" w:color="auto" w:fill="auto"/>
        <w:spacing w:line="240" w:lineRule="auto"/>
        <w:jc w:val="left"/>
        <w:textAlignment w:val="center"/>
        <w:rPr>
          <w:sz w:val="21"/>
        </w:rPr>
      </w:pPr>
      <w:r>
        <w:rPr>
          <w:sz w:val="21"/>
        </w:rPr>
        <w:t>②NK细胞通过识别低表达的MHC-1杀伤瘤细胞。所以来自于T细胞缺失小鼠的淋巴结转移瘤和来自于正常小鼠的淋巴结转移瘤中MHC-1分子表达量高，从而抑制NK细胞的杀伤作用，PD-L1可与T细胞表面的特定蛋白结合，抑制其杀伤作用，所以来自于T细胞缺失小鼠的淋巴结转移瘤和来自于T和NK细胞缺失小鼠的淋巴结转移瘤中PD-L1分子表达量,来自于正常小鼠的淋巴结转移瘤中PD-L1分子表达量高。表格如下所示。</w:t>
      </w:r>
    </w:p>
    <w:tbl>
      <w:tblPr>
        <w:tblStyle w:val="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4550"/>
        <w:gridCol w:w="2040"/>
        <w:gridCol w:w="1957"/>
      </w:tblGrid>
      <w:tr w14:paraId="3D36B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F9C5A79">
            <w:pPr>
              <w:shd w:val="clear" w:color="auto" w:fill="auto"/>
              <w:spacing w:line="240" w:lineRule="auto"/>
              <w:jc w:val="center"/>
              <w:textAlignment w:val="center"/>
              <w:rPr>
                <w:sz w:val="21"/>
              </w:rPr>
            </w:pPr>
            <w:r>
              <w:rPr>
                <w:sz w:val="21"/>
              </w:rPr>
              <w:t>肿瘤细胞的类型</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D43343A">
            <w:pPr>
              <w:shd w:val="clear" w:color="auto" w:fill="auto"/>
              <w:spacing w:line="240" w:lineRule="auto"/>
              <w:jc w:val="center"/>
              <w:textAlignment w:val="center"/>
              <w:rPr>
                <w:sz w:val="21"/>
              </w:rPr>
            </w:pPr>
            <w:r>
              <w:rPr>
                <w:sz w:val="21"/>
              </w:rPr>
              <w:t>MHC-1分子表达量</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134DA00">
            <w:pPr>
              <w:shd w:val="clear" w:color="auto" w:fill="auto"/>
              <w:spacing w:line="240" w:lineRule="auto"/>
              <w:jc w:val="center"/>
              <w:textAlignment w:val="center"/>
              <w:rPr>
                <w:sz w:val="21"/>
              </w:rPr>
            </w:pPr>
            <w:r>
              <w:rPr>
                <w:sz w:val="21"/>
              </w:rPr>
              <w:t>PD-L1分子表达量</w:t>
            </w:r>
          </w:p>
        </w:tc>
      </w:tr>
      <w:tr w14:paraId="597B9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8548C11">
            <w:pPr>
              <w:shd w:val="clear" w:color="auto" w:fill="auto"/>
              <w:spacing w:line="240" w:lineRule="auto"/>
              <w:jc w:val="center"/>
              <w:textAlignment w:val="center"/>
              <w:rPr>
                <w:sz w:val="21"/>
              </w:rPr>
            </w:pPr>
            <w:r>
              <w:rPr>
                <w:sz w:val="21"/>
              </w:rPr>
              <w:t>来自于正常小鼠的淋巴结转移瘤</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C03C76B">
            <w:pPr>
              <w:shd w:val="clear" w:color="auto" w:fill="auto"/>
              <w:spacing w:line="240" w:lineRule="auto"/>
              <w:jc w:val="left"/>
              <w:textAlignment w:val="center"/>
              <w:rPr>
                <w:sz w:val="21"/>
              </w:rPr>
            </w:pPr>
            <w:r>
              <w:rPr>
                <w:sz w:val="21"/>
              </w:rPr>
              <w:t>高</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9F22318">
            <w:pPr>
              <w:shd w:val="clear" w:color="auto" w:fill="auto"/>
              <w:spacing w:line="240" w:lineRule="auto"/>
              <w:jc w:val="left"/>
              <w:textAlignment w:val="center"/>
              <w:rPr>
                <w:sz w:val="21"/>
              </w:rPr>
            </w:pPr>
            <w:r>
              <w:rPr>
                <w:sz w:val="21"/>
              </w:rPr>
              <w:t>高</w:t>
            </w:r>
          </w:p>
        </w:tc>
      </w:tr>
      <w:tr w14:paraId="51E3E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9418303">
            <w:pPr>
              <w:shd w:val="clear" w:color="auto" w:fill="auto"/>
              <w:spacing w:line="240" w:lineRule="auto"/>
              <w:jc w:val="center"/>
              <w:textAlignment w:val="center"/>
              <w:rPr>
                <w:sz w:val="21"/>
              </w:rPr>
            </w:pPr>
            <w:r>
              <w:rPr>
                <w:sz w:val="21"/>
              </w:rPr>
              <w:t>来自于T细胞缺失小鼠的淋巴结转移瘤</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879AFFD">
            <w:pPr>
              <w:shd w:val="clear" w:color="auto" w:fill="auto"/>
              <w:spacing w:line="240" w:lineRule="auto"/>
              <w:jc w:val="left"/>
              <w:textAlignment w:val="center"/>
              <w:rPr>
                <w:sz w:val="21"/>
              </w:rPr>
            </w:pPr>
            <w:r>
              <w:rPr>
                <w:sz w:val="21"/>
              </w:rPr>
              <w:t>高</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7D41BB0">
            <w:pPr>
              <w:shd w:val="clear" w:color="auto" w:fill="auto"/>
              <w:spacing w:line="240" w:lineRule="auto"/>
              <w:jc w:val="left"/>
              <w:textAlignment w:val="center"/>
              <w:rPr>
                <w:sz w:val="21"/>
              </w:rPr>
            </w:pPr>
            <w:r>
              <w:rPr>
                <w:sz w:val="21"/>
              </w:rPr>
              <w:t>低（给出）</w:t>
            </w:r>
          </w:p>
        </w:tc>
      </w:tr>
      <w:tr w14:paraId="4209C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C365BFC">
            <w:pPr>
              <w:shd w:val="clear" w:color="auto" w:fill="auto"/>
              <w:spacing w:line="240" w:lineRule="auto"/>
              <w:jc w:val="center"/>
              <w:textAlignment w:val="center"/>
              <w:rPr>
                <w:sz w:val="21"/>
              </w:rPr>
            </w:pPr>
            <w:r>
              <w:rPr>
                <w:sz w:val="21"/>
              </w:rPr>
              <w:t>来自于T和NK细胞缺失小鼠的淋巴结转移瘤</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4B4F268">
            <w:pPr>
              <w:shd w:val="clear" w:color="auto" w:fill="auto"/>
              <w:spacing w:line="240" w:lineRule="auto"/>
              <w:jc w:val="left"/>
              <w:textAlignment w:val="center"/>
              <w:rPr>
                <w:sz w:val="21"/>
              </w:rPr>
            </w:pPr>
            <w:r>
              <w:rPr>
                <w:sz w:val="21"/>
              </w:rPr>
              <w:t>低（给出）</w:t>
            </w:r>
          </w:p>
        </w:tc>
        <w:tc>
          <w:tcPr>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F5DA811">
            <w:pPr>
              <w:shd w:val="clear" w:color="auto" w:fill="auto"/>
              <w:spacing w:line="240" w:lineRule="auto"/>
              <w:jc w:val="left"/>
              <w:textAlignment w:val="center"/>
              <w:rPr>
                <w:sz w:val="21"/>
              </w:rPr>
            </w:pPr>
            <w:r>
              <w:rPr>
                <w:sz w:val="21"/>
              </w:rPr>
              <w:t>低</w:t>
            </w:r>
          </w:p>
        </w:tc>
      </w:tr>
    </w:tbl>
    <w:p w14:paraId="66EAAF00">
      <w:pPr>
        <w:shd w:val="clear" w:color="auto" w:fill="auto"/>
        <w:spacing w:line="240" w:lineRule="auto"/>
        <w:jc w:val="left"/>
        <w:textAlignment w:val="center"/>
        <w:rPr>
          <w:sz w:val="21"/>
        </w:rPr>
      </w:pPr>
    </w:p>
    <w:p w14:paraId="713C35C6">
      <w:pPr>
        <w:shd w:val="clear" w:color="auto" w:fill="auto"/>
        <w:spacing w:line="240" w:lineRule="auto"/>
        <w:jc w:val="left"/>
        <w:textAlignment w:val="center"/>
        <w:rPr>
          <w:sz w:val="21"/>
        </w:rPr>
      </w:pPr>
      <w:r>
        <w:rPr>
          <w:sz w:val="21"/>
        </w:rPr>
        <w:t>（4）接种LN6野生型小鼠体内小鼠血清中的TGF-β浓度和瘤细胞远端转移率高于接种FO野生型小鼠，所以淋巴结转移可促进远端转移,其可能的机制是原位瘤细胞发生淋巴结转移后诱导机体释放的TGF-3增多，TGF-3促进调节性T细胞增殖，后者抑制辅助性T细胞的功能,抑制机体的体液免疫和细胞免疫功能，从而促进瘤细胞的远端转移。</w:t>
      </w:r>
    </w:p>
    <w:p w14:paraId="35EFA47B">
      <w:pPr>
        <w:shd w:val="clear" w:color="auto" w:fill="auto"/>
        <w:spacing w:line="240" w:lineRule="auto"/>
        <w:jc w:val="left"/>
        <w:textAlignment w:val="center"/>
        <w:rPr>
          <w:sz w:val="21"/>
        </w:rPr>
      </w:pPr>
      <w:r>
        <w:rPr>
          <w:sz w:val="21"/>
        </w:rPr>
        <w:t xml:space="preserve">23．(1)     使DNA聚合酶能够从引物的3'端开始连接脱氧核苷酸     5'      BamHⅠ、XhoⅠ      A </w:t>
      </w:r>
    </w:p>
    <w:p w14:paraId="7C64F64F">
      <w:pPr>
        <w:shd w:val="clear" w:color="auto" w:fill="auto"/>
        <w:spacing w:line="240" w:lineRule="auto"/>
        <w:jc w:val="left"/>
        <w:textAlignment w:val="center"/>
        <w:rPr>
          <w:sz w:val="21"/>
        </w:rPr>
      </w:pPr>
      <w:r>
        <w:rPr>
          <w:sz w:val="21"/>
        </w:rPr>
        <w:t>(2)     DNA连接     限制酶2识别序列后面的一个碱基A与His标签基因编码链的前两个碱基CA编码一个氨基酸，导致His标签基因对应的mRNA上的密码子被错位读取     14/十四</w:t>
      </w:r>
    </w:p>
    <w:p w14:paraId="71E2F634">
      <w:pPr>
        <w:shd w:val="clear" w:color="auto" w:fill="auto"/>
        <w:spacing w:line="240" w:lineRule="auto"/>
        <w:jc w:val="left"/>
        <w:textAlignment w:val="center"/>
        <w:rPr>
          <w:sz w:val="21"/>
        </w:rPr>
      </w:pPr>
      <w:r>
        <w:rPr>
          <w:sz w:val="21"/>
        </w:rPr>
        <w:t>【分析】由题意，构建的TAT-RAT融合基因的表达载体，可以表达RAT作用于核糖体，使蛋白合成受阻，引起细胞死亡，同时，TAT转导蛋白进入细胞，两者的融合蛋白转运进入肿瘤细胞，使肿瘤细胞死亡；TAT-RAT-ODD融合基因在此基础上，加入了有氧依赖性降解区域ODD，使融合蛋白在低氧的肿瘤内可以适应低氧条件生存发挥作用，同时在正常细胞的有氧条件下被蛋白酶降解，减轻RTA对正常细胞的毒性。</w:t>
      </w:r>
    </w:p>
    <w:p w14:paraId="26319FC7">
      <w:pPr>
        <w:shd w:val="clear" w:color="auto" w:fill="auto"/>
        <w:spacing w:line="240" w:lineRule="auto"/>
        <w:jc w:val="left"/>
        <w:textAlignment w:val="center"/>
        <w:rPr>
          <w:sz w:val="21"/>
        </w:rPr>
      </w:pPr>
      <w:r>
        <w:rPr>
          <w:sz w:val="21"/>
        </w:rPr>
        <w:t>【详解】（1）PCR技术是根据DNA半保留复制的原理，在体外提供参与DNA复制的各种组分与反应条件，对目的基因的核苷酸序列进行大量复制的技术，所需的引物用来使DNA聚合酶能够从引物的3'端开始连接脱氧核苷酸延伸子链。图1中引物1、2延伸的子链的方向由5'端到3'端，所以引物1、2的5'端可以加入酶切位点，欲得到的TAT-RAT融合基因的上游有BamH Ⅰ的酶切位点，下游有Xbo Ⅰ的酶切位点，所以加入的是BamH Ⅰ、Xbo Ⅰ的酶切位点。在RTA蛋白的前端引入TAT短肽，则需要将其基因编码序列加上，则引物1的前12个碱基序列中除了BamH Ⅰ的6个识别序列，还有TAT的5'端的六个碱基，即5'ATGAGC，结合后为5'GGATCCATGAGC3'，所以选A。</w:t>
      </w:r>
    </w:p>
    <w:p w14:paraId="61AD9653">
      <w:pPr>
        <w:shd w:val="clear" w:color="auto" w:fill="auto"/>
        <w:spacing w:line="240" w:lineRule="auto"/>
        <w:jc w:val="left"/>
        <w:textAlignment w:val="center"/>
        <w:rPr>
          <w:sz w:val="21"/>
        </w:rPr>
      </w:pPr>
      <w:r>
        <w:rPr>
          <w:sz w:val="21"/>
        </w:rPr>
        <w:t>（2）限制性内切核酸酶切割的DNA片段用DNA连接酶连接在一起。由图2可知，限制酶2识别序列和His的DNA编码链之间多了一个碱基A，所以融合蛋白中没有His标签蛋白，很可能是限制酶2识别序列后面的一个碱基A与His标签基因编码链的前两个碱基CA编码一个氨基酸，导致His标签基因对应的mRNA上的密码子被错位读取。如果在A碱基的左右两侧各插入一个碱基，每个位置都可以插入A、T、G、C四种，但是UAA、UAG是终止密码子，所以最终结果是4×4－2=14种。</w:t>
      </w:r>
    </w:p>
    <w:p w14:paraId="4B7A7B95">
      <w:pPr>
        <w:shd w:val="clear" w:color="auto" w:fill="auto"/>
        <w:spacing w:line="240" w:lineRule="auto"/>
        <w:jc w:val="left"/>
        <w:textAlignment w:val="center"/>
        <w:rPr>
          <w:sz w:val="21"/>
        </w:rPr>
      </w:pPr>
    </w:p>
    <w:sectPr>
      <w:headerReference r:id="rId5" w:type="default"/>
      <w:footerReference r:id="rId7" w:type="default"/>
      <w:headerReference r:id="rId6" w:type="even"/>
      <w:footerReference r:id="rId8" w:type="even"/>
      <w:pgSz w:w="11907" w:h="16839"/>
      <w:pgMar w:top="1440" w:right="1800" w:bottom="1440" w:left="1800" w:header="851" w:footer="425"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03E1D">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 xml:space="preserve">3</w:instrText>
    </w:r>
    <w:r>
      <w:fldChar w:fldCharType="end"/>
    </w:r>
    <w:r>
      <w:instrText xml:space="preserve"> </w:instrText>
    </w:r>
    <w:r>
      <w:fldChar w:fldCharType="separate"/>
    </w:r>
    <w:r>
      <w:t>3</w:t>
    </w:r>
    <w:r>
      <w:fldChar w:fldCharType="end"/>
    </w:r>
    <w:r>
      <w:rPr>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68697">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 xml:space="preserve">3</w:instrText>
    </w:r>
    <w:r>
      <w:fldChar w:fldCharType="end"/>
    </w:r>
    <w:r>
      <w:instrText xml:space="preserve"> </w:instrText>
    </w:r>
    <w:r>
      <w:fldChar w:fldCharType="separate"/>
    </w:r>
    <w:r>
      <w:t>3</w:t>
    </w:r>
    <w:r>
      <w:fldChar w:fldCharType="end"/>
    </w:r>
    <w:r>
      <w:rPr>
        <w:rFonts w:hint="eastAsia"/>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EE87D">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rPr>
        <w:rFonts w:hint="eastAsia"/>
      </w:rPr>
      <w:instrText xml:space="preserve">=</w:instrText>
    </w:r>
    <w:r>
      <w:fldChar w:fldCharType="begin"/>
    </w:r>
    <w:r>
      <w:instrText xml:space="preserve"> sectionpages </w:instrText>
    </w:r>
    <w:r>
      <w:fldChar w:fldCharType="separate"/>
    </w:r>
    <w:r>
      <w:instrText xml:space="preserve">2</w:instrText>
    </w:r>
    <w: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F8BF1">
    <w:pPr>
      <w:jc w:val="center"/>
    </w:pPr>
    <w:r>
      <w:rPr>
        <w:rFonts w:hint="eastAsia"/>
      </w:rPr>
      <w:t>答案第</w:t>
    </w:r>
    <w:r>
      <w:fldChar w:fldCharType="begin"/>
    </w:r>
    <w:r>
      <w:instrText xml:space="preserve"> =</w:instrText>
    </w:r>
    <w:r>
      <w:fldChar w:fldCharType="begin"/>
    </w:r>
    <w:r>
      <w:instrText xml:space="preserve"> page </w:instrText>
    </w:r>
    <w:r>
      <w:fldChar w:fldCharType="separate"/>
    </w:r>
    <w:r>
      <w:instrText xml:space="preserve">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rPr>
        <w:rFonts w:hint="eastAsia"/>
      </w:rPr>
      <w:instrText xml:space="preserve">=</w:instrText>
    </w:r>
    <w:r>
      <w:fldChar w:fldCharType="begin"/>
    </w:r>
    <w:r>
      <w:instrText xml:space="preserve"> sectionpages </w:instrText>
    </w:r>
    <w:r>
      <w:fldChar w:fldCharType="separate"/>
    </w:r>
    <w:r>
      <w:instrText xml:space="preserve">2</w:instrText>
    </w:r>
    <w:r>
      <w:fldChar w:fldCharType="end"/>
    </w:r>
    <w:r>
      <w:instrText xml:space="preserve"> </w:instrText>
    </w:r>
    <w:r>
      <w:fldChar w:fldCharType="separate"/>
    </w:r>
    <w:r>
      <w:t>2</w:t>
    </w:r>
    <w:r>
      <w:fldChar w:fldCharType="end"/>
    </w:r>
    <w:r>
      <w:rPr>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98BA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2DFA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E46D8"/>
    <w:rsid w:val="00537201"/>
    <w:rsid w:val="0064153B"/>
    <w:rsid w:val="006A4C40"/>
    <w:rsid w:val="006B16C5"/>
    <w:rsid w:val="00776133"/>
    <w:rsid w:val="00811C76"/>
    <w:rsid w:val="00855687"/>
    <w:rsid w:val="008C07DE"/>
    <w:rsid w:val="009E611B"/>
    <w:rsid w:val="00A30CCE"/>
    <w:rsid w:val="00AC3E9C"/>
    <w:rsid w:val="00BC2225"/>
    <w:rsid w:val="00BC4F14"/>
    <w:rsid w:val="00BC62FB"/>
    <w:rsid w:val="00BF535F"/>
    <w:rsid w:val="00C806B0"/>
    <w:rsid w:val="00E476EE"/>
    <w:rsid w:val="00EF035E"/>
    <w:rsid w:val="00F16B29"/>
    <w:rsid w:val="00FA429B"/>
    <w:rsid w:val="40095F7D"/>
    <w:rsid w:val="7FD73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5" Type="http://schemas.openxmlformats.org/officeDocument/2006/relationships/fontTable" Target="fontTable.xml"/><Relationship Id="rId34" Type="http://schemas.openxmlformats.org/officeDocument/2006/relationships/customXml" Target="../customXml/item1.xml"/><Relationship Id="rId33" Type="http://schemas.openxmlformats.org/officeDocument/2006/relationships/image" Target="media/image23.wmf"/><Relationship Id="rId32" Type="http://schemas.openxmlformats.org/officeDocument/2006/relationships/oleObject" Target="embeddings/oleObject1.bin"/><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footer" Target="foot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DFBD8B74-E658-41D0-A583-9C5836944D7F}">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2582</Words>
  <Characters>2823</Characters>
  <Lines>0</Lines>
  <Paragraphs>0</Paragraphs>
  <TotalTime>7</TotalTime>
  <ScaleCrop>false</ScaleCrop>
  <LinksUpToDate>false</LinksUpToDate>
  <CharactersWithSpaces>2874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2017-07-19T12:07:00Z</dcterms:created>
  <dc:creator>组卷网zujuan.xkw.com</dc:creator>
  <cp:lastModifiedBy>WPS_1592316349</cp:lastModifiedBy>
  <dcterms:modified xsi:type="dcterms:W3CDTF">2026-03-07T04:44:38Z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caedbad221f84be290a91c6bffe3adcende2ota4mjq4na</vt:lpwstr>
  </property>
  <property fmtid="{D5CDD505-2E9C-101B-9397-08002B2CF9AE}" pid="4" name="KSOTemplateDocerSaveRecord">
    <vt:lpwstr>eyJoZGlkIjoiYWRkYzUxZGYwNjE1ZWM3MDg5NjhjNWJiYjAxOWI4YWMiLCJ1c2VySWQiOiIxMDE1MzEzMjE4In0=</vt:lpwstr>
  </property>
  <property fmtid="{D5CDD505-2E9C-101B-9397-08002B2CF9AE}" pid="5" name="KSOProductBuildVer">
    <vt:lpwstr>2052-12.1.0.25225</vt:lpwstr>
  </property>
  <property fmtid="{D5CDD505-2E9C-101B-9397-08002B2CF9AE}" pid="6" name="ICV">
    <vt:lpwstr>C0908399E5A947969D4B36461447B78B_12</vt:lpwstr>
  </property>
</Properties>
</file>