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6BBEC">
      <w:pPr>
        <w:spacing w:line="340" w:lineRule="exact"/>
        <w:ind w:left="0" w:leftChars="0" w:firstLine="480" w:firstLineChars="200"/>
        <w:jc w:val="center"/>
        <w:rPr>
          <w:rFonts w:hint="eastAsia"/>
          <w:sz w:val="24"/>
          <w:szCs w:val="24"/>
        </w:rPr>
      </w:pPr>
      <w:r>
        <w:rPr>
          <w:rFonts w:hint="eastAsia" w:ascii="清雅黑体" w:hAnsi="清雅黑体" w:eastAsia="清雅黑体" w:cs="清雅黑体"/>
          <w:color w:val="121212"/>
          <w:sz w:val="28"/>
          <w:szCs w:val="28"/>
        </w:rPr>
        <w:t>一堂读出来的经典</w:t>
      </w:r>
    </w:p>
    <w:p w14:paraId="2D0243D1">
      <w:pPr>
        <w:spacing w:line="340" w:lineRule="exact"/>
        <w:ind w:left="0" w:leftChars="0" w:firstLine="480" w:firstLineChars="200"/>
        <w:rPr>
          <w:rFonts w:hint="eastAsia" w:ascii="方正仿宋_GB2312" w:hAnsi="方正仿宋_GB2312" w:eastAsia="方正仿宋_GB2312" w:cs="方正仿宋_GB2312"/>
          <w:sz w:val="24"/>
          <w:szCs w:val="24"/>
        </w:rPr>
      </w:pPr>
    </w:p>
    <w:p w14:paraId="1BACEEC1">
      <w:pPr>
        <w:spacing w:line="340" w:lineRule="exact"/>
        <w:ind w:left="0" w:leftChars="0" w:firstLine="480" w:firstLineChars="200"/>
        <w:rPr>
          <w:rFonts w:hint="eastAsia" w:ascii="方正仿宋_GB2312" w:hAnsi="方正仿宋_GB2312" w:eastAsia="方正仿宋_GB2312" w:cs="方正仿宋_GB2312"/>
          <w:sz w:val="24"/>
          <w:szCs w:val="24"/>
        </w:rPr>
      </w:pPr>
      <w:bookmarkStart w:id="0" w:name="_GoBack"/>
      <w:bookmarkEnd w:id="0"/>
      <w:r>
        <w:rPr>
          <w:rFonts w:hint="eastAsia" w:ascii="方正仿宋_GB2312" w:hAnsi="方正仿宋_GB2312" w:eastAsia="方正仿宋_GB2312" w:cs="方正仿宋_GB2312"/>
          <w:sz w:val="24"/>
          <w:szCs w:val="24"/>
        </w:rPr>
        <w:t>4月9日有幸听得钱泽舒副校长所上的《游园•皂罗袍》一课。此篇古诗词诵读出自汤显祖《牡丹亭》的第十出《惊梦》，是统编版高中语文必修下册“古诗词诵读”板块的重要内容。这支曲子以婉转精妙语言抒写了杜丽娘游园时面对万紫千红与断井颓垣并存的园林景象，生发出的青春觉醒与生命感叹，文词优美、韵律悠长，是历来为人所称到的经典名段。</w:t>
      </w:r>
    </w:p>
    <w:p w14:paraId="347B0802">
      <w:pPr>
        <w:spacing w:line="3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钱校以汤山紫清湖的学生社会实践活动的情境导入，让学生联想出生于官宦家庭，从小受封建家长的管束和封建礼教的压抑的同龄的杜丽娘面对自家的多可见而不曾游玩的园子，她应该见到了哪些，可能会想到了哪些？激发起了学生的浓厚阅读兴趣。</w:t>
      </w:r>
    </w:p>
    <w:p w14:paraId="790D18B5">
      <w:pPr>
        <w:spacing w:line="3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以 “读” 为主线，“声” 为路径，将诵读设计为贯穿课堂始终的核心活动。让学生自读疏通文本，用初读——译读——吟读——品读——赏读——联读等阅读方法：初读——读准了字音和节奏；译读——读通了文意；吟读——读出了声韵之美；品读——读懂了杜丽娘的内心世界；赏读——读出了昆曲的艺术魅力；联读——读会了诗歌鉴赏的方式方法。以 “读” 为主线，“声” 为路径，将诵读设计为贯穿课堂始终的核心活动。打破了“朗读—翻译—分析”的传统教学模式，构建“六读法”梯度诵读体系：以初读正音识韵、以译读疏通文意、以吟读品味声情、以品读探幽发微、以美读升华体悟，以联读培养鉴赏诗歌的能力。六种读法层层递进，从字音、文意到声韵、情感，再到审美鉴赏，引导学生在声音中感知语言之美、在韵律中体悟情感之深，最终实现对杜丽娘“青春觉醒”精神世界的深刻理解。</w:t>
      </w:r>
    </w:p>
    <w:p w14:paraId="5134FE8C">
      <w:pPr>
        <w:spacing w:line="340" w:lineRule="exact"/>
        <w:ind w:left="0" w:leftChars="0" w:firstLine="480" w:firstLineChars="200"/>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课以诵读为主线，45分钟课时中诵读活动时长超20分钟。课堂中诵读形式呈现多样化，包括自由朗读、齐读、分角色读、跟读、品读、美读等多种样态，钱校在不同环节灵活切换中，借景生情，探旨悟法，把曲词的“惊才绝艳”的精彩通过语义、语气、语调在诵读中充分体现了出来，保持了课堂节奏的起伏变化。</w:t>
      </w:r>
    </w:p>
    <w:p w14:paraId="49056165">
      <w:pPr>
        <w:spacing w:line="340" w:lineRule="exact"/>
        <w:ind w:left="0" w:leftChars="0" w:firstLine="480" w:firstLineChars="200"/>
        <w:rPr>
          <w:rFonts w:hint="eastAsia" w:ascii="方正仿宋_GB2312" w:hAnsi="方正仿宋_GB2312" w:eastAsia="方正仿宋_GB2312" w:cs="方正仿宋_GB2312"/>
          <w:sz w:val="24"/>
          <w:szCs w:val="24"/>
        </w:rPr>
      </w:pPr>
    </w:p>
    <w:p w14:paraId="2B69EC49">
      <w:pPr>
        <w:spacing w:line="340" w:lineRule="exact"/>
        <w:ind w:left="0" w:leftChars="0" w:firstLine="480" w:firstLineChars="200"/>
        <w:jc w:val="right"/>
        <w:rPr>
          <w:rFonts w:hint="eastAsia"/>
          <w:sz w:val="24"/>
          <w:szCs w:val="24"/>
        </w:rPr>
      </w:pPr>
      <w:r>
        <w:rPr>
          <w:rFonts w:hint="eastAsia" w:ascii="方正仿宋_GB2312" w:hAnsi="方正仿宋_GB2312" w:eastAsia="方正仿宋_GB2312" w:cs="方正仿宋_GB2312"/>
          <w:sz w:val="24"/>
          <w:szCs w:val="24"/>
        </w:rPr>
        <w:t>朱斌</w:t>
      </w:r>
    </w:p>
    <w:p w14:paraId="3B1DDF06">
      <w:pPr>
        <w:spacing w:line="340" w:lineRule="exact"/>
        <w:ind w:left="0" w:leftChars="0" w:firstLine="480" w:firstLineChars="200"/>
        <w:jc w:val="right"/>
        <w:rPr>
          <w:rFonts w:hint="eastAsia"/>
          <w:sz w:val="24"/>
          <w:szCs w:val="24"/>
        </w:rPr>
      </w:pPr>
      <w:r>
        <w:rPr>
          <w:rFonts w:hint="eastAsia"/>
          <w:sz w:val="24"/>
          <w:szCs w:val="24"/>
        </w:rPr>
        <w:t>2026.4.10</w:t>
      </w:r>
    </w:p>
    <w:p w14:paraId="4F16BBEC">
      <w:pPr>
        <w:rPr>
          <w:rFonts w:hint="default"/>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清雅黑体">
    <w:panose1 w:val="00000000000000000000"/>
    <w:charset w:val="86"/>
    <w:family w:val="auto"/>
    <w:pitch w:val="default"/>
    <w:sig w:usb0="00000000" w:usb1="00000000" w:usb2="00000000" w:usb3="00000000" w:csb0="00000000" w:csb1="00000000"/>
  </w:font>
  <w:font w:name="方正仿宋_GB2312">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ABD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64CA">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center"/>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center"/>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2026-04-10T07:51:00Z</dcterms:created>
  <dc:creator>朱斌</dc:creator>
  <cp:lastModifiedBy>iPhone</cp:lastModifiedBy>
  <dcterms:modified xsi:type="dcterms:W3CDTF">2026-04-17T12:39:52Z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2052-12.42.0</vt:lpwstr>
  </property>
  <property fmtid="{D5CDD505-2E9C-101B-9397-08002B2CF9AE}" pid="3" name="ICV">
    <vt:lpwstr>B1868602151F44A1820EEC430837F298_11</vt:lpwstr>
  </property>
  <property fmtid="{D5CDD505-2E9C-101B-9397-08002B2CF9AE}" pid="4" name="KSOTemplateDocerSaveRecord">
    <vt:lpwstr>eyJoZGlkIjoiNWRhOTc4YzY0ZGM0NDQ3YmExNjI1MmMxMGY5ZGRkZWEiLCJ1c2VySWQiOiIyMzc2ODc0OTIifQ==</vt:lpwstr>
  </property>
</Properties>
</file>