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4926FAA">
      <w:pPr>
        <w:keepNext w:val="0"/>
        <w:keepLines w:val="0"/>
        <w:pageBreakBefore w:val="0"/>
        <w:widowControl w:val="0"/>
        <w:kinsoku/>
        <w:wordWrap/>
        <w:overflowPunct/>
        <w:topLinePunct w:val="0"/>
        <w:autoSpaceDE/>
        <w:autoSpaceDN/>
        <w:bidi w:val="0"/>
        <w:adjustRightInd/>
        <w:snapToGrid/>
        <w:spacing w:before="62" w:beforeLines="20" w:line="240" w:lineRule="auto"/>
        <w:jc w:val="center"/>
        <w:rPr>
          <w:rFonts w:hint="default" w:ascii="黑体" w:hAnsi="黑体" w:eastAsia="黑体"/>
          <w:sz w:val="32"/>
          <w:szCs w:val="32"/>
          <w:lang w:val="en-US"/>
        </w:rPr>
      </w:pPr>
      <w:r>
        <w:rPr>
          <w:rFonts w:hint="eastAsia" w:ascii="黑体" w:hAnsi="黑体" w:eastAsia="黑体"/>
          <w:sz w:val="32"/>
          <w:szCs w:val="32"/>
        </w:rPr>
        <w:t>高二地理</w:t>
      </w:r>
      <w:r>
        <w:rPr>
          <w:rFonts w:hint="eastAsia" w:ascii="黑体" w:hAnsi="黑体" w:eastAsia="黑体"/>
          <w:sz w:val="32"/>
          <w:szCs w:val="32"/>
          <w:lang w:val="en-US" w:eastAsia="zh-CN"/>
        </w:rPr>
        <w:t>期中复习卷三</w:t>
      </w:r>
    </w:p>
    <w:p w14:paraId="7A1A2363">
      <w:pPr>
        <w:keepNext w:val="0"/>
        <w:keepLines w:val="0"/>
        <w:pageBreakBefore w:val="0"/>
        <w:widowControl w:val="0"/>
        <w:kinsoku/>
        <w:wordWrap/>
        <w:overflowPunct/>
        <w:topLinePunct w:val="0"/>
        <w:autoSpaceDE/>
        <w:autoSpaceDN/>
        <w:bidi w:val="0"/>
        <w:adjustRightInd/>
        <w:snapToGrid/>
        <w:spacing w:line="240"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23</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分，共计</w:t>
      </w:r>
      <w:r>
        <w:rPr>
          <w:rFonts w:ascii="Times New Roman" w:hAnsi="Times New Roman" w:eastAsia="Times New Roman" w:cs="Times New Roman"/>
          <w:b/>
          <w:color w:val="auto"/>
          <w:sz w:val="24"/>
        </w:rPr>
        <w:t>46</w:t>
      </w:r>
      <w:r>
        <w:rPr>
          <w:rFonts w:ascii="宋体" w:hAnsi="宋体" w:eastAsia="宋体" w:cs="宋体"/>
          <w:b/>
          <w:color w:val="auto"/>
          <w:sz w:val="24"/>
        </w:rPr>
        <w:t>分。在每小题给出的四个选项中，只有一项是符合题目要求的。</w:t>
      </w:r>
    </w:p>
    <w:p w14:paraId="377A3856">
      <w:pPr>
        <w:keepNext w:val="0"/>
        <w:keepLines w:val="0"/>
        <w:pageBreakBefore w:val="0"/>
        <w:widowControl w:val="0"/>
        <w:kinsoku/>
        <w:wordWrap/>
        <w:overflowPunct/>
        <w:topLinePunct w:val="0"/>
        <w:autoSpaceDE/>
        <w:autoSpaceDN/>
        <w:bidi w:val="0"/>
        <w:adjustRightInd/>
        <w:snapToGrid/>
        <w:spacing w:line="240" w:lineRule="auto"/>
        <w:ind w:firstLine="420"/>
        <w:jc w:val="left"/>
      </w:pPr>
      <w:r>
        <w:rPr>
          <w:rFonts w:ascii="楷体" w:hAnsi="楷体" w:eastAsia="楷体" w:cs="楷体"/>
          <w:color w:val="auto"/>
        </w:rPr>
        <w:t>勾蓝瑶寨位于湖南省江永县喀斯特盆地内（下图），隋唐时期多地外来</w:t>
      </w:r>
      <w:r>
        <w:rPr>
          <w:rFonts w:ascii="宋体" w:hAnsi="宋体" w:eastAsia="宋体" w:cs="宋体"/>
          <w:color w:val="auto"/>
        </w:rPr>
        <w:t>“</w:t>
      </w:r>
      <w:r>
        <w:rPr>
          <w:rFonts w:ascii="楷体" w:hAnsi="楷体" w:eastAsia="楷体" w:cs="楷体"/>
          <w:color w:val="auto"/>
        </w:rPr>
        <w:t>瑶人</w:t>
      </w:r>
      <w:r>
        <w:rPr>
          <w:rFonts w:ascii="宋体" w:hAnsi="宋体" w:eastAsia="宋体" w:cs="宋体"/>
          <w:color w:val="auto"/>
        </w:rPr>
        <w:t>”</w:t>
      </w:r>
      <w:r>
        <w:rPr>
          <w:rFonts w:ascii="楷体" w:hAnsi="楷体" w:eastAsia="楷体" w:cs="楷体"/>
          <w:color w:val="auto"/>
        </w:rPr>
        <w:t>迁居于此。寨内祠堂、水井、戏台、庙宇等公共设施占比较高，但在近几十年间都逐渐被荒废。据此完成下面小题。</w:t>
      </w:r>
    </w:p>
    <w:p w14:paraId="515D7EB6">
      <w:pPr>
        <w:keepNext w:val="0"/>
        <w:keepLines w:val="0"/>
        <w:pageBreakBefore w:val="0"/>
        <w:widowControl w:val="0"/>
        <w:kinsoku/>
        <w:wordWrap/>
        <w:overflowPunct/>
        <w:topLinePunct w:val="0"/>
        <w:autoSpaceDE/>
        <w:autoSpaceDN/>
        <w:bidi w:val="0"/>
        <w:adjustRightInd/>
        <w:snapToGrid/>
        <w:spacing w:line="240" w:lineRule="auto"/>
        <w:jc w:val="left"/>
      </w:pPr>
      <w:r>
        <w:drawing>
          <wp:inline distT="0" distB="0" distL="114300" distR="114300">
            <wp:extent cx="4668520" cy="2543175"/>
            <wp:effectExtent l="0" t="0" r="1778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6"/>
                    <a:stretch>
                      <a:fillRect/>
                    </a:stretch>
                  </pic:blipFill>
                  <pic:spPr>
                    <a:xfrm>
                      <a:off x="0" y="0"/>
                      <a:ext cx="4668520" cy="2543175"/>
                    </a:xfrm>
                    <a:prstGeom prst="rect">
                      <a:avLst/>
                    </a:prstGeom>
                  </pic:spPr>
                </pic:pic>
              </a:graphicData>
            </a:graphic>
          </wp:inline>
        </w:drawing>
      </w:r>
    </w:p>
    <w:p w14:paraId="7C07EBD0">
      <w:pPr>
        <w:keepNext w:val="0"/>
        <w:keepLines w:val="0"/>
        <w:pageBreakBefore w:val="0"/>
        <w:widowControl w:val="0"/>
        <w:kinsoku/>
        <w:wordWrap/>
        <w:overflowPunct/>
        <w:topLinePunct w:val="0"/>
        <w:autoSpaceDE/>
        <w:autoSpaceDN/>
        <w:bidi w:val="0"/>
        <w:adjustRightInd/>
        <w:snapToGrid/>
        <w:spacing w:line="240" w:lineRule="auto"/>
        <w:jc w:val="left"/>
      </w:pPr>
      <w:r>
        <w:rPr>
          <w:color w:val="auto"/>
        </w:rPr>
        <w:t xml:space="preserve">1. </w:t>
      </w:r>
      <w:r>
        <w:rPr>
          <w:rFonts w:ascii="宋体" w:hAnsi="宋体" w:eastAsia="宋体" w:cs="宋体"/>
          <w:color w:val="auto"/>
        </w:rPr>
        <w:t>古代瑶族聚居于此主要考虑（</w:t>
      </w:r>
      <w:r>
        <w:rPr>
          <w:rFonts w:ascii="Times New Roman" w:hAnsi="Times New Roman" w:eastAsia="Times New Roman" w:cs="Times New Roman"/>
          <w:color w:val="auto"/>
        </w:rPr>
        <w:t xml:space="preserve">   </w:t>
      </w:r>
      <w:r>
        <w:rPr>
          <w:rFonts w:ascii="宋体" w:hAnsi="宋体" w:eastAsia="宋体" w:cs="宋体"/>
          <w:color w:val="auto"/>
        </w:rPr>
        <w:t>）</w:t>
      </w:r>
    </w:p>
    <w:p w14:paraId="68F8EF51">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auto"/>
        </w:rPr>
      </w:pPr>
      <w:r>
        <w:t xml:space="preserve">A. </w:t>
      </w:r>
      <w:r>
        <w:rPr>
          <w:rFonts w:ascii="宋体" w:hAnsi="宋体" w:eastAsia="宋体" w:cs="宋体"/>
          <w:color w:val="auto"/>
        </w:rPr>
        <w:t>防御外敌</w:t>
      </w:r>
      <w:r>
        <w:tab/>
      </w:r>
      <w:r>
        <w:t xml:space="preserve">B. </w:t>
      </w:r>
      <w:r>
        <w:rPr>
          <w:rFonts w:ascii="宋体" w:hAnsi="宋体" w:eastAsia="宋体" w:cs="宋体"/>
          <w:color w:val="auto"/>
        </w:rPr>
        <w:t>发展农耕</w:t>
      </w:r>
      <w:r>
        <w:tab/>
      </w:r>
      <w:r>
        <w:t xml:space="preserve">C. </w:t>
      </w:r>
      <w:r>
        <w:rPr>
          <w:rFonts w:ascii="宋体" w:hAnsi="宋体" w:eastAsia="宋体" w:cs="宋体"/>
          <w:color w:val="auto"/>
        </w:rPr>
        <w:t>传承文化</w:t>
      </w:r>
      <w:r>
        <w:tab/>
      </w:r>
      <w:r>
        <w:t xml:space="preserve">D. </w:t>
      </w:r>
      <w:r>
        <w:rPr>
          <w:rFonts w:ascii="宋体" w:hAnsi="宋体" w:eastAsia="宋体" w:cs="宋体"/>
          <w:color w:val="auto"/>
        </w:rPr>
        <w:t>依山傍水</w:t>
      </w:r>
    </w:p>
    <w:p w14:paraId="5984E1ED">
      <w:pPr>
        <w:keepNext w:val="0"/>
        <w:keepLines w:val="0"/>
        <w:pageBreakBefore w:val="0"/>
        <w:widowControl w:val="0"/>
        <w:kinsoku/>
        <w:wordWrap/>
        <w:overflowPunct/>
        <w:topLinePunct w:val="0"/>
        <w:autoSpaceDE/>
        <w:autoSpaceDN/>
        <w:bidi w:val="0"/>
        <w:adjustRightInd/>
        <w:snapToGrid/>
        <w:spacing w:line="240" w:lineRule="auto"/>
        <w:jc w:val="left"/>
      </w:pPr>
      <w:r>
        <w:rPr>
          <w:color w:val="auto"/>
        </w:rPr>
        <w:t xml:space="preserve">2. </w:t>
      </w:r>
      <w:r>
        <w:rPr>
          <w:rFonts w:ascii="宋体" w:hAnsi="宋体" w:eastAsia="宋体" w:cs="宋体"/>
          <w:color w:val="auto"/>
        </w:rPr>
        <w:t>推测古代寨内使用频次最高的公共设施是（</w:t>
      </w:r>
      <w:r>
        <w:rPr>
          <w:rFonts w:ascii="Times New Roman" w:hAnsi="Times New Roman" w:eastAsia="Times New Roman" w:cs="Times New Roman"/>
          <w:color w:val="auto"/>
        </w:rPr>
        <w:t xml:space="preserve">   </w:t>
      </w:r>
      <w:r>
        <w:rPr>
          <w:rFonts w:ascii="宋体" w:hAnsi="宋体" w:eastAsia="宋体" w:cs="宋体"/>
          <w:color w:val="auto"/>
        </w:rPr>
        <w:t>）</w:t>
      </w:r>
    </w:p>
    <w:p w14:paraId="6D62AAED">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auto"/>
        </w:rPr>
      </w:pPr>
      <w:r>
        <w:t xml:space="preserve">A. </w:t>
      </w:r>
      <w:r>
        <w:rPr>
          <w:rFonts w:ascii="宋体" w:hAnsi="宋体" w:eastAsia="宋体" w:cs="宋体"/>
          <w:color w:val="auto"/>
        </w:rPr>
        <w:t>祠堂</w:t>
      </w:r>
      <w:r>
        <w:tab/>
      </w:r>
      <w:r>
        <w:t xml:space="preserve">B. </w:t>
      </w:r>
      <w:r>
        <w:rPr>
          <w:rFonts w:ascii="宋体" w:hAnsi="宋体" w:eastAsia="宋体" w:cs="宋体"/>
          <w:color w:val="auto"/>
        </w:rPr>
        <w:t>戏台</w:t>
      </w:r>
      <w:r>
        <w:tab/>
      </w:r>
      <w:r>
        <w:t xml:space="preserve">C. </w:t>
      </w:r>
      <w:r>
        <w:rPr>
          <w:rFonts w:ascii="宋体" w:hAnsi="宋体" w:eastAsia="宋体" w:cs="宋体"/>
          <w:color w:val="auto"/>
        </w:rPr>
        <w:t>水井</w:t>
      </w:r>
      <w:r>
        <w:tab/>
      </w:r>
      <w:r>
        <w:t xml:space="preserve">D. </w:t>
      </w:r>
      <w:r>
        <w:rPr>
          <w:rFonts w:ascii="宋体" w:hAnsi="宋体" w:eastAsia="宋体" w:cs="宋体"/>
          <w:color w:val="auto"/>
        </w:rPr>
        <w:t>庙宇</w:t>
      </w:r>
    </w:p>
    <w:p w14:paraId="3F95E932">
      <w:pPr>
        <w:keepNext w:val="0"/>
        <w:keepLines w:val="0"/>
        <w:pageBreakBefore w:val="0"/>
        <w:widowControl w:val="0"/>
        <w:kinsoku/>
        <w:wordWrap/>
        <w:overflowPunct/>
        <w:topLinePunct w:val="0"/>
        <w:autoSpaceDE/>
        <w:autoSpaceDN/>
        <w:bidi w:val="0"/>
        <w:adjustRightInd/>
        <w:snapToGrid/>
        <w:spacing w:line="240" w:lineRule="auto"/>
        <w:jc w:val="left"/>
      </w:pPr>
      <w:r>
        <w:rPr>
          <w:color w:val="auto"/>
        </w:rPr>
        <w:t xml:space="preserve">3. </w:t>
      </w:r>
      <w:r>
        <w:rPr>
          <w:rFonts w:ascii="宋体" w:hAnsi="宋体" w:eastAsia="宋体" w:cs="宋体"/>
          <w:color w:val="auto"/>
        </w:rPr>
        <w:t>近几十年间寨内公共设施逐渐被荒废的主要原因是（</w:t>
      </w:r>
      <w:r>
        <w:rPr>
          <w:rFonts w:ascii="Times New Roman" w:hAnsi="Times New Roman" w:eastAsia="Times New Roman" w:cs="Times New Roman"/>
          <w:color w:val="auto"/>
        </w:rPr>
        <w:t xml:space="preserve">   </w:t>
      </w:r>
      <w:r>
        <w:rPr>
          <w:rFonts w:ascii="宋体" w:hAnsi="宋体" w:eastAsia="宋体" w:cs="宋体"/>
          <w:color w:val="auto"/>
        </w:rPr>
        <w:t>）</w:t>
      </w:r>
    </w:p>
    <w:p w14:paraId="444FD7DB">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000000"/>
        </w:rPr>
      </w:pPr>
      <w:r>
        <w:t xml:space="preserve">A. </w:t>
      </w:r>
      <w:r>
        <w:rPr>
          <w:rFonts w:ascii="宋体" w:hAnsi="宋体" w:eastAsia="宋体" w:cs="宋体"/>
          <w:color w:val="auto"/>
        </w:rPr>
        <w:t>设施年久失修</w:t>
      </w:r>
      <w:r>
        <w:tab/>
      </w:r>
      <w:r>
        <w:t xml:space="preserve">B. </w:t>
      </w:r>
      <w:r>
        <w:rPr>
          <w:rFonts w:ascii="宋体" w:hAnsi="宋体" w:eastAsia="宋体" w:cs="宋体"/>
          <w:color w:val="auto"/>
        </w:rPr>
        <w:t>保护意识淡薄</w:t>
      </w:r>
      <w:r>
        <w:tab/>
      </w:r>
      <w:r>
        <w:t xml:space="preserve">C. </w:t>
      </w:r>
      <w:r>
        <w:rPr>
          <w:rFonts w:ascii="宋体" w:hAnsi="宋体" w:eastAsia="宋体" w:cs="宋体"/>
          <w:color w:val="auto"/>
        </w:rPr>
        <w:t>生活方式转变</w:t>
      </w:r>
      <w:r>
        <w:tab/>
      </w:r>
      <w:r>
        <w:t xml:space="preserve">D. </w:t>
      </w:r>
      <w:r>
        <w:rPr>
          <w:rFonts w:ascii="宋体" w:hAnsi="宋体" w:eastAsia="宋体" w:cs="宋体"/>
          <w:color w:val="auto"/>
        </w:rPr>
        <w:t>人口大量外迁</w:t>
      </w:r>
    </w:p>
    <w:p w14:paraId="16ED4012">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r>
        <w:rPr>
          <w:rFonts w:ascii="楷体" w:hAnsi="楷体" w:eastAsia="楷体" w:cs="楷体"/>
          <w:color w:val="000000"/>
        </w:rPr>
        <w:t>南京某地理研学小组利用地球运动模拟软件开展研究。下图为</w:t>
      </w:r>
      <w:r>
        <w:rPr>
          <w:rFonts w:ascii="宋体" w:hAnsi="宋体" w:eastAsia="宋体" w:cs="宋体"/>
          <w:color w:val="000000"/>
        </w:rPr>
        <w:t>“</w:t>
      </w:r>
      <w:r>
        <w:rPr>
          <w:rFonts w:ascii="楷体" w:hAnsi="楷体" w:eastAsia="楷体" w:cs="楷体"/>
          <w:color w:val="000000"/>
        </w:rPr>
        <w:t>某月</w:t>
      </w:r>
      <w:r>
        <w:rPr>
          <w:rFonts w:ascii="Times New Roman" w:hAnsi="Times New Roman" w:eastAsia="Times New Roman" w:cs="Times New Roman"/>
          <w:color w:val="000000"/>
        </w:rPr>
        <w:t>13</w:t>
      </w:r>
      <w:r>
        <w:rPr>
          <w:rFonts w:ascii="楷体" w:hAnsi="楷体" w:eastAsia="楷体" w:cs="楷体"/>
          <w:color w:val="000000"/>
        </w:rPr>
        <w:t>日地球昼夜状况</w:t>
      </w:r>
      <w:r>
        <w:rPr>
          <w:rFonts w:ascii="宋体" w:hAnsi="宋体" w:eastAsia="宋体" w:cs="宋体"/>
          <w:color w:val="000000"/>
        </w:rPr>
        <w:t>”</w:t>
      </w:r>
      <w:r>
        <w:rPr>
          <w:rFonts w:ascii="楷体" w:hAnsi="楷体" w:eastAsia="楷体" w:cs="楷体"/>
          <w:color w:val="000000"/>
        </w:rPr>
        <w:t>。据此完成下面小题。</w:t>
      </w:r>
    </w:p>
    <w:p w14:paraId="1E4C194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drawing>
          <wp:inline distT="0" distB="0" distL="114300" distR="114300">
            <wp:extent cx="3095625" cy="30956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7"/>
                    <a:stretch>
                      <a:fillRect/>
                    </a:stretch>
                  </pic:blipFill>
                  <pic:spPr>
                    <a:xfrm>
                      <a:off x="0" y="0"/>
                      <a:ext cx="3095625" cy="3095625"/>
                    </a:xfrm>
                    <a:prstGeom prst="rect">
                      <a:avLst/>
                    </a:prstGeom>
                  </pic:spPr>
                </pic:pic>
              </a:graphicData>
            </a:graphic>
          </wp:inline>
        </w:drawing>
      </w:r>
      <w:r>
        <w:rPr>
          <w:color w:val="000000"/>
        </w:rPr>
        <w:t xml:space="preserve">  </w:t>
      </w:r>
    </w:p>
    <w:p w14:paraId="3A7F76AF">
      <w:pPr>
        <w:keepNext w:val="0"/>
        <w:keepLines w:val="0"/>
        <w:pageBreakBefore w:val="0"/>
        <w:widowControl w:val="0"/>
        <w:kinsoku/>
        <w:wordWrap/>
        <w:overflowPunct/>
        <w:topLinePunct w:val="0"/>
        <w:autoSpaceDE/>
        <w:autoSpaceDN/>
        <w:bidi w:val="0"/>
        <w:adjustRightInd w:val="0"/>
        <w:snapToGrid w:val="0"/>
        <w:spacing w:line="240" w:lineRule="auto"/>
        <w:jc w:val="left"/>
        <w:textAlignment w:val="center"/>
        <w:rPr>
          <w:color w:val="000000"/>
        </w:rPr>
      </w:pPr>
      <w:r>
        <w:rPr>
          <w:color w:val="000000"/>
        </w:rPr>
        <w:t xml:space="preserve">4. </w:t>
      </w:r>
      <w:r>
        <w:rPr>
          <w:rFonts w:ascii="宋体" w:hAnsi="宋体" w:eastAsia="宋体" w:cs="宋体"/>
          <w:color w:val="000000"/>
        </w:rPr>
        <w:t>据图推断，此时太阳直射点大约在（</w:t>
      </w:r>
      <w:r>
        <w:rPr>
          <w:rFonts w:ascii="Times New Roman" w:hAnsi="Times New Roman" w:eastAsia="Times New Roman" w:cs="Times New Roman"/>
          <w:color w:val="000000"/>
        </w:rPr>
        <w:t xml:space="preserve">   </w:t>
      </w:r>
      <w:r>
        <w:rPr>
          <w:rFonts w:ascii="宋体" w:hAnsi="宋体" w:eastAsia="宋体" w:cs="宋体"/>
          <w:color w:val="000000"/>
        </w:rPr>
        <w:t>）</w:t>
      </w:r>
    </w:p>
    <w:p w14:paraId="26812395">
      <w:pPr>
        <w:keepNext w:val="0"/>
        <w:keepLines w:val="0"/>
        <w:pageBreakBefore w:val="0"/>
        <w:widowControl w:val="0"/>
        <w:tabs>
          <w:tab w:val="left" w:pos="2436"/>
          <w:tab w:val="left" w:pos="4873"/>
          <w:tab w:val="left" w:pos="7309"/>
        </w:tabs>
        <w:kinsoku/>
        <w:wordWrap/>
        <w:overflowPunct/>
        <w:topLinePunct w:val="0"/>
        <w:autoSpaceDE/>
        <w:autoSpaceDN/>
        <w:bidi w:val="0"/>
        <w:adjustRightInd w:val="0"/>
        <w:snapToGrid w:val="0"/>
        <w:spacing w:line="240" w:lineRule="auto"/>
        <w:jc w:val="left"/>
        <w:textAlignment w:val="center"/>
        <w:rPr>
          <w:color w:val="000000"/>
        </w:rPr>
      </w:pPr>
      <w:r>
        <w:rPr>
          <w:color w:val="000000"/>
        </w:rPr>
        <w:t>A</w:t>
      </w:r>
      <w:r>
        <w:rPr>
          <w:rFonts w:ascii="宋体" w:hAnsi="宋体" w:eastAsia="宋体" w:cs="宋体"/>
          <w:color w:val="000000"/>
        </w:rPr>
        <w:t>（</w:t>
      </w:r>
      <w:r>
        <w:rPr>
          <w:rFonts w:ascii="Times New Roman" w:hAnsi="Times New Roman" w:eastAsia="Times New Roman" w:cs="Times New Roman"/>
          <w:color w:val="000000"/>
        </w:rPr>
        <w:t>8°S</w:t>
      </w:r>
      <w:r>
        <w:rPr>
          <w:rFonts w:ascii="宋体" w:hAnsi="宋体" w:eastAsia="宋体" w:cs="宋体"/>
          <w:color w:val="000000"/>
        </w:rPr>
        <w:t>，</w:t>
      </w:r>
      <w:r>
        <w:rPr>
          <w:rFonts w:ascii="Times New Roman" w:hAnsi="Times New Roman" w:eastAsia="Times New Roman" w:cs="Times New Roman"/>
          <w:color w:val="000000"/>
        </w:rPr>
        <w:t>75°E</w:t>
      </w:r>
      <w:r>
        <w:rPr>
          <w:rFonts w:ascii="宋体" w:hAnsi="宋体" w:eastAsia="宋体" w:cs="宋体"/>
          <w:color w:val="000000"/>
        </w:rPr>
        <w:t>）</w:t>
      </w:r>
      <w:r>
        <w:rPr>
          <w:color w:val="000000"/>
        </w:rPr>
        <w:tab/>
      </w:r>
      <w:r>
        <w:rPr>
          <w:color w:val="000000"/>
        </w:rPr>
        <w:t xml:space="preserve">B. </w:t>
      </w:r>
      <w:r>
        <w:rPr>
          <w:rFonts w:ascii="宋体" w:hAnsi="宋体" w:eastAsia="宋体" w:cs="宋体"/>
          <w:color w:val="000000"/>
        </w:rPr>
        <w:t>（</w:t>
      </w:r>
      <w:r>
        <w:rPr>
          <w:rFonts w:ascii="Times New Roman" w:hAnsi="Times New Roman" w:eastAsia="Times New Roman" w:cs="Times New Roman"/>
          <w:color w:val="000000"/>
        </w:rPr>
        <w:t>15°S</w:t>
      </w:r>
      <w:r>
        <w:rPr>
          <w:rFonts w:ascii="宋体" w:hAnsi="宋体" w:eastAsia="宋体" w:cs="宋体"/>
          <w:color w:val="000000"/>
        </w:rPr>
        <w:t>，</w:t>
      </w:r>
      <w:r>
        <w:rPr>
          <w:rFonts w:ascii="Times New Roman" w:hAnsi="Times New Roman" w:eastAsia="Times New Roman" w:cs="Times New Roman"/>
          <w:color w:val="000000"/>
        </w:rPr>
        <w:t>75°E</w:t>
      </w:r>
      <w:r>
        <w:rPr>
          <w:rFonts w:ascii="宋体" w:hAnsi="宋体" w:eastAsia="宋体" w:cs="宋体"/>
          <w:color w:val="000000"/>
        </w:rPr>
        <w:t>）</w:t>
      </w:r>
      <w:r>
        <w:rPr>
          <w:color w:val="000000"/>
        </w:rPr>
        <w:tab/>
      </w:r>
      <w:r>
        <w:rPr>
          <w:color w:val="000000"/>
        </w:rPr>
        <w:t xml:space="preserve">C. </w:t>
      </w:r>
      <w:r>
        <w:rPr>
          <w:rFonts w:ascii="宋体" w:hAnsi="宋体" w:eastAsia="宋体" w:cs="宋体"/>
          <w:color w:val="000000"/>
        </w:rPr>
        <w:t>（</w:t>
      </w:r>
      <w:r>
        <w:rPr>
          <w:rFonts w:ascii="Times New Roman" w:hAnsi="Times New Roman" w:eastAsia="Times New Roman" w:cs="Times New Roman"/>
          <w:color w:val="000000"/>
        </w:rPr>
        <w:t>8°S</w:t>
      </w:r>
      <w:r>
        <w:rPr>
          <w:rFonts w:ascii="宋体" w:hAnsi="宋体" w:eastAsia="宋体" w:cs="宋体"/>
          <w:color w:val="000000"/>
        </w:rPr>
        <w:t>，</w:t>
      </w:r>
      <w:r>
        <w:rPr>
          <w:rFonts w:ascii="Times New Roman" w:hAnsi="Times New Roman" w:eastAsia="Times New Roman" w:cs="Times New Roman"/>
          <w:color w:val="000000"/>
        </w:rPr>
        <w:t>90°E</w:t>
      </w:r>
      <w:r>
        <w:rPr>
          <w:rFonts w:ascii="宋体" w:hAnsi="宋体" w:eastAsia="宋体" w:cs="宋体"/>
          <w:color w:val="000000"/>
        </w:rPr>
        <w:t>）</w:t>
      </w:r>
      <w:r>
        <w:rPr>
          <w:color w:val="000000"/>
        </w:rPr>
        <w:tab/>
      </w:r>
      <w:r>
        <w:rPr>
          <w:color w:val="000000"/>
        </w:rPr>
        <w:t xml:space="preserve">D. </w:t>
      </w:r>
      <w:r>
        <w:rPr>
          <w:rFonts w:ascii="宋体" w:hAnsi="宋体" w:eastAsia="宋体" w:cs="宋体"/>
          <w:color w:val="000000"/>
        </w:rPr>
        <w:t>（</w:t>
      </w:r>
      <w:r>
        <w:rPr>
          <w:rFonts w:ascii="Times New Roman" w:hAnsi="Times New Roman" w:eastAsia="Times New Roman" w:cs="Times New Roman"/>
          <w:color w:val="000000"/>
        </w:rPr>
        <w:t>15°S</w:t>
      </w:r>
      <w:r>
        <w:rPr>
          <w:rFonts w:ascii="宋体" w:hAnsi="宋体" w:eastAsia="宋体" w:cs="宋体"/>
          <w:color w:val="000000"/>
        </w:rPr>
        <w:t>，</w:t>
      </w:r>
      <w:r>
        <w:rPr>
          <w:rFonts w:ascii="Times New Roman" w:hAnsi="Times New Roman" w:eastAsia="Times New Roman" w:cs="Times New Roman"/>
          <w:color w:val="000000"/>
        </w:rPr>
        <w:t>90°E</w:t>
      </w:r>
      <w:r>
        <w:rPr>
          <w:rFonts w:ascii="宋体" w:hAnsi="宋体" w:eastAsia="宋体" w:cs="宋体"/>
          <w:color w:val="000000"/>
        </w:rPr>
        <w:t>）</w:t>
      </w:r>
    </w:p>
    <w:p w14:paraId="4CB3BA67">
      <w:pPr>
        <w:keepNext w:val="0"/>
        <w:keepLines w:val="0"/>
        <w:pageBreakBefore w:val="0"/>
        <w:widowControl w:val="0"/>
        <w:kinsoku/>
        <w:wordWrap/>
        <w:overflowPunct/>
        <w:topLinePunct w:val="0"/>
        <w:autoSpaceDE/>
        <w:autoSpaceDN/>
        <w:bidi w:val="0"/>
        <w:adjustRightInd w:val="0"/>
        <w:snapToGrid w:val="0"/>
        <w:spacing w:line="240" w:lineRule="auto"/>
        <w:jc w:val="left"/>
        <w:textAlignment w:val="center"/>
        <w:rPr>
          <w:color w:val="000000"/>
        </w:rPr>
      </w:pPr>
      <w:r>
        <w:rPr>
          <w:color w:val="000000"/>
        </w:rPr>
        <w:t xml:space="preserve">5. </w:t>
      </w:r>
      <w:r>
        <w:rPr>
          <w:rFonts w:ascii="宋体" w:hAnsi="宋体" w:eastAsia="宋体" w:cs="宋体"/>
          <w:color w:val="000000"/>
        </w:rPr>
        <w:t>三个月后，南京的太阳视运动轨迹可能为（</w:t>
      </w:r>
      <w:r>
        <w:rPr>
          <w:rFonts w:ascii="Times New Roman" w:hAnsi="Times New Roman" w:eastAsia="Times New Roman" w:cs="Times New Roman"/>
          <w:color w:val="000000"/>
        </w:rPr>
        <w:t xml:space="preserve">   </w:t>
      </w:r>
      <w:r>
        <w:rPr>
          <w:rFonts w:ascii="宋体" w:hAnsi="宋体" w:eastAsia="宋体" w:cs="宋体"/>
          <w:color w:val="000000"/>
        </w:rPr>
        <w:t>）</w:t>
      </w:r>
    </w:p>
    <w:p w14:paraId="69FD604E">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drawing>
          <wp:inline distT="0" distB="0" distL="114300" distR="114300">
            <wp:extent cx="5553075" cy="1503045"/>
            <wp:effectExtent l="0" t="0" r="9525" b="190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5553075" cy="1503045"/>
                    </a:xfrm>
                    <a:prstGeom prst="rect">
                      <a:avLst/>
                    </a:prstGeom>
                  </pic:spPr>
                </pic:pic>
              </a:graphicData>
            </a:graphic>
          </wp:inline>
        </w:drawing>
      </w:r>
      <w:r>
        <w:rPr>
          <w:color w:val="000000"/>
        </w:rPr>
        <w:t xml:space="preserve">  </w:t>
      </w:r>
    </w:p>
    <w:p w14:paraId="69DBE8B0">
      <w:pPr>
        <w:keepNext w:val="0"/>
        <w:keepLines w:val="0"/>
        <w:pageBreakBefore w:val="0"/>
        <w:widowControl w:val="0"/>
        <w:tabs>
          <w:tab w:val="left" w:pos="4873"/>
        </w:tabs>
        <w:kinsoku/>
        <w:wordWrap/>
        <w:overflowPunct/>
        <w:topLinePunct w:val="0"/>
        <w:autoSpaceDE/>
        <w:autoSpaceDN/>
        <w:bidi w:val="0"/>
        <w:adjustRightInd/>
        <w:snapToGrid/>
        <w:spacing w:line="240" w:lineRule="auto"/>
        <w:ind w:firstLine="420" w:firstLineChars="200"/>
        <w:jc w:val="left"/>
        <w:textAlignment w:val="center"/>
        <w:rPr>
          <w:color w:val="000000"/>
        </w:rPr>
      </w:pPr>
      <w:r>
        <w:rPr>
          <w:color w:val="000000"/>
        </w:rPr>
        <w:t xml:space="preserve">A. </w:t>
      </w:r>
      <w:r>
        <w:rPr>
          <w:rFonts w:ascii="宋体" w:hAnsi="宋体" w:eastAsia="宋体" w:cs="宋体"/>
          <w:color w:val="000000"/>
        </w:rPr>
        <w:t>①</w:t>
      </w:r>
      <w:r>
        <w:rPr>
          <w:rFonts w:hint="eastAsia" w:ascii="宋体" w:hAnsi="宋体" w:cs="宋体"/>
          <w:color w:val="000000"/>
          <w:lang w:val="en-US" w:eastAsia="zh-CN"/>
        </w:rPr>
        <w:t xml:space="preserve">      </w:t>
      </w:r>
      <w:r>
        <w:rPr>
          <w:color w:val="000000"/>
        </w:rPr>
        <w:t xml:space="preserve">B. </w:t>
      </w:r>
      <w:r>
        <w:rPr>
          <w:rFonts w:ascii="宋体" w:hAnsi="宋体" w:eastAsia="宋体" w:cs="宋体"/>
          <w:color w:val="000000"/>
        </w:rPr>
        <w:t>②</w:t>
      </w:r>
      <w:r>
        <w:rPr>
          <w:rFonts w:hint="eastAsia" w:ascii="宋体" w:hAnsi="宋体" w:cs="宋体"/>
          <w:color w:val="000000"/>
          <w:lang w:val="en-US" w:eastAsia="zh-CN"/>
        </w:rPr>
        <w:t xml:space="preserve">       </w:t>
      </w:r>
      <w:r>
        <w:rPr>
          <w:color w:val="000000"/>
        </w:rPr>
        <w:t xml:space="preserve">C. </w:t>
      </w:r>
      <w:r>
        <w:rPr>
          <w:rFonts w:ascii="宋体" w:hAnsi="宋体" w:eastAsia="宋体" w:cs="宋体"/>
          <w:color w:val="000000"/>
        </w:rPr>
        <w:t>③</w:t>
      </w:r>
      <w:r>
        <w:rPr>
          <w:rFonts w:hint="eastAsia" w:ascii="宋体" w:hAnsi="宋体" w:cs="宋体"/>
          <w:color w:val="000000"/>
          <w:lang w:val="en-US" w:eastAsia="zh-CN"/>
        </w:rPr>
        <w:t xml:space="preserve">        </w:t>
      </w:r>
      <w:r>
        <w:rPr>
          <w:color w:val="000000"/>
        </w:rPr>
        <w:t xml:space="preserve">D. </w:t>
      </w:r>
      <w:r>
        <w:rPr>
          <w:rFonts w:ascii="宋体" w:hAnsi="宋体" w:eastAsia="宋体" w:cs="宋体"/>
          <w:color w:val="000000"/>
        </w:rPr>
        <w:t>④</w:t>
      </w:r>
    </w:p>
    <w:p w14:paraId="430F4F38">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rFonts w:ascii="楷体" w:hAnsi="楷体" w:eastAsia="楷体" w:cs="楷体"/>
          <w:color w:val="000000"/>
        </w:rPr>
      </w:pPr>
    </w:p>
    <w:p w14:paraId="39E22ED3">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r>
        <w:rPr>
          <w:color w:val="000000"/>
        </w:rPr>
        <w:drawing>
          <wp:anchor distT="0" distB="0" distL="114300" distR="114300" simplePos="0" relativeHeight="251659264" behindDoc="0" locked="0" layoutInCell="1" allowOverlap="1">
            <wp:simplePos x="0" y="0"/>
            <wp:positionH relativeFrom="column">
              <wp:posOffset>1766570</wp:posOffset>
            </wp:positionH>
            <wp:positionV relativeFrom="paragraph">
              <wp:posOffset>407670</wp:posOffset>
            </wp:positionV>
            <wp:extent cx="4585970" cy="3246120"/>
            <wp:effectExtent l="0" t="0" r="5080" b="11430"/>
            <wp:wrapSquare wrapText="bothSides"/>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4585970" cy="3246120"/>
                    </a:xfrm>
                    <a:prstGeom prst="rect">
                      <a:avLst/>
                    </a:prstGeom>
                  </pic:spPr>
                </pic:pic>
              </a:graphicData>
            </a:graphic>
          </wp:anchor>
        </w:drawing>
      </w:r>
      <w:r>
        <w:rPr>
          <w:rFonts w:ascii="楷体" w:hAnsi="楷体" w:eastAsia="楷体" w:cs="楷体"/>
          <w:color w:val="000000"/>
        </w:rPr>
        <w:t>下图为</w:t>
      </w:r>
      <w:r>
        <w:rPr>
          <w:rFonts w:ascii="宋体" w:hAnsi="宋体" w:eastAsia="宋体" w:cs="宋体"/>
          <w:color w:val="000000"/>
        </w:rPr>
        <w:t>“</w:t>
      </w:r>
      <w:r>
        <w:rPr>
          <w:rFonts w:ascii="Times New Roman" w:hAnsi="Times New Roman" w:eastAsia="Times New Roman" w:cs="Times New Roman"/>
          <w:color w:val="000000"/>
        </w:rPr>
        <w:t>5</w:t>
      </w:r>
      <w:r>
        <w:rPr>
          <w:rFonts w:ascii="楷体" w:hAnsi="楷体" w:eastAsia="楷体" w:cs="楷体"/>
          <w:color w:val="000000"/>
        </w:rPr>
        <w:t>月</w:t>
      </w:r>
      <w:r>
        <w:rPr>
          <w:rFonts w:ascii="Times New Roman" w:hAnsi="Times New Roman" w:eastAsia="Times New Roman" w:cs="Times New Roman"/>
          <w:color w:val="000000"/>
        </w:rPr>
        <w:t>16</w:t>
      </w:r>
      <w:r>
        <w:rPr>
          <w:rFonts w:ascii="楷体" w:hAnsi="楷体" w:eastAsia="楷体" w:cs="楷体"/>
          <w:color w:val="000000"/>
        </w:rPr>
        <w:t>日某时亚洲部分地区地面天气形势图</w:t>
      </w:r>
      <w:r>
        <w:rPr>
          <w:rFonts w:ascii="宋体" w:hAnsi="宋体" w:eastAsia="宋体" w:cs="宋体"/>
          <w:color w:val="000000"/>
        </w:rPr>
        <w:t>”</w:t>
      </w:r>
      <w:r>
        <w:rPr>
          <w:rFonts w:ascii="楷体" w:hAnsi="楷体" w:eastAsia="楷体" w:cs="楷体"/>
          <w:color w:val="000000"/>
        </w:rPr>
        <w:t>。据此完成下面小题。</w:t>
      </w:r>
    </w:p>
    <w:p w14:paraId="3EB9556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6. </w:t>
      </w:r>
      <w:r>
        <w:rPr>
          <w:rFonts w:ascii="宋体" w:hAnsi="宋体" w:eastAsia="宋体" w:cs="宋体"/>
          <w:color w:val="000000"/>
        </w:rPr>
        <w:t>因受暖锋影响，</w:t>
      </w:r>
      <w:r>
        <w:rPr>
          <w:rFonts w:ascii="Times New Roman" w:hAnsi="Times New Roman" w:eastAsia="Times New Roman" w:cs="Times New Roman"/>
          <w:color w:val="000000"/>
        </w:rPr>
        <w:t>16</w:t>
      </w:r>
      <w:r>
        <w:rPr>
          <w:rFonts w:ascii="宋体" w:hAnsi="宋体" w:eastAsia="宋体" w:cs="宋体"/>
          <w:color w:val="000000"/>
        </w:rPr>
        <w:t>日最可能的降水区域是（</w:t>
      </w:r>
      <w:r>
        <w:rPr>
          <w:rFonts w:ascii="Times New Roman" w:hAnsi="Times New Roman" w:eastAsia="Times New Roman" w:cs="Times New Roman"/>
          <w:color w:val="000000"/>
        </w:rPr>
        <w:t xml:space="preserve">   </w:t>
      </w:r>
      <w:r>
        <w:rPr>
          <w:rFonts w:ascii="宋体" w:hAnsi="宋体" w:eastAsia="宋体" w:cs="宋体"/>
          <w:color w:val="000000"/>
        </w:rPr>
        <w:t>）</w:t>
      </w:r>
    </w:p>
    <w:p w14:paraId="4D9CD63A">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A. </w:t>
      </w:r>
      <w:r>
        <w:rPr>
          <w:rFonts w:ascii="宋体" w:hAnsi="宋体" w:eastAsia="宋体" w:cs="宋体"/>
          <w:color w:val="000000"/>
        </w:rPr>
        <w:t>甲</w:t>
      </w:r>
      <w:r>
        <w:rPr>
          <w:color w:val="000000"/>
        </w:rPr>
        <w:tab/>
      </w:r>
    </w:p>
    <w:p w14:paraId="03AF0708">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B. </w:t>
      </w:r>
      <w:r>
        <w:rPr>
          <w:rFonts w:ascii="宋体" w:hAnsi="宋体" w:eastAsia="宋体" w:cs="宋体"/>
          <w:color w:val="000000"/>
        </w:rPr>
        <w:t>乙</w:t>
      </w:r>
      <w:r>
        <w:rPr>
          <w:color w:val="000000"/>
        </w:rPr>
        <w:tab/>
      </w:r>
    </w:p>
    <w:p w14:paraId="08741834">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C. </w:t>
      </w:r>
      <w:r>
        <w:rPr>
          <w:rFonts w:ascii="宋体" w:hAnsi="宋体" w:eastAsia="宋体" w:cs="宋体"/>
          <w:color w:val="000000"/>
        </w:rPr>
        <w:t>丙</w:t>
      </w:r>
      <w:r>
        <w:rPr>
          <w:color w:val="000000"/>
        </w:rPr>
        <w:tab/>
      </w:r>
    </w:p>
    <w:p w14:paraId="74131992">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D. </w:t>
      </w:r>
      <w:r>
        <w:rPr>
          <w:rFonts w:ascii="宋体" w:hAnsi="宋体" w:eastAsia="宋体" w:cs="宋体"/>
          <w:color w:val="000000"/>
        </w:rPr>
        <w:t>丁</w:t>
      </w:r>
    </w:p>
    <w:p w14:paraId="1A6A998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7. </w:t>
      </w:r>
      <w:r>
        <w:rPr>
          <w:rFonts w:ascii="宋体" w:hAnsi="宋体" w:eastAsia="宋体" w:cs="宋体"/>
          <w:color w:val="000000"/>
        </w:rPr>
        <w:t>图中</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两地的气压最大差值可能接近（</w:t>
      </w:r>
      <w:r>
        <w:rPr>
          <w:rFonts w:ascii="Times New Roman" w:hAnsi="Times New Roman" w:eastAsia="Times New Roman" w:cs="Times New Roman"/>
          <w:color w:val="000000"/>
        </w:rPr>
        <w:t xml:space="preserve">   </w:t>
      </w:r>
      <w:r>
        <w:rPr>
          <w:rFonts w:ascii="宋体" w:hAnsi="宋体" w:eastAsia="宋体" w:cs="宋体"/>
          <w:color w:val="000000"/>
        </w:rPr>
        <w:t>）</w:t>
      </w:r>
    </w:p>
    <w:p w14:paraId="576FE85A">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A. </w:t>
      </w:r>
      <w:r>
        <w:rPr>
          <w:rFonts w:ascii="Times New Roman" w:hAnsi="Times New Roman" w:eastAsia="Times New Roman" w:cs="Times New Roman"/>
          <w:color w:val="000000"/>
        </w:rPr>
        <w:t>12.5hPa</w:t>
      </w:r>
      <w:r>
        <w:rPr>
          <w:color w:val="000000"/>
        </w:rPr>
        <w:tab/>
      </w:r>
    </w:p>
    <w:p w14:paraId="7665C54A">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rFonts w:ascii="Times New Roman" w:hAnsi="Times New Roman" w:eastAsia="Times New Roman" w:cs="Times New Roman"/>
          <w:color w:val="000000"/>
        </w:rPr>
      </w:pPr>
      <w:r>
        <w:rPr>
          <w:color w:val="000000"/>
        </w:rPr>
        <w:t xml:space="preserve">B. </w:t>
      </w:r>
      <w:r>
        <w:rPr>
          <w:rFonts w:ascii="Times New Roman" w:hAnsi="Times New Roman" w:eastAsia="Times New Roman" w:cs="Times New Roman"/>
          <w:color w:val="000000"/>
        </w:rPr>
        <w:t>10hPa</w:t>
      </w:r>
    </w:p>
    <w:p w14:paraId="0E4E83C8">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C. </w:t>
      </w:r>
      <w:r>
        <w:rPr>
          <w:rFonts w:ascii="Times New Roman" w:hAnsi="Times New Roman" w:eastAsia="Times New Roman" w:cs="Times New Roman"/>
          <w:color w:val="000000"/>
        </w:rPr>
        <w:t>7.5hPa</w:t>
      </w:r>
      <w:r>
        <w:rPr>
          <w:color w:val="000000"/>
        </w:rPr>
        <w:tab/>
      </w:r>
    </w:p>
    <w:p w14:paraId="30AD55A5">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D. </w:t>
      </w:r>
      <w:r>
        <w:rPr>
          <w:rFonts w:ascii="Times New Roman" w:hAnsi="Times New Roman" w:eastAsia="Times New Roman" w:cs="Times New Roman"/>
          <w:color w:val="000000"/>
        </w:rPr>
        <w:t>5hPa</w:t>
      </w:r>
    </w:p>
    <w:p w14:paraId="446FEE1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8. </w:t>
      </w:r>
      <w:r>
        <w:rPr>
          <w:rFonts w:ascii="宋体" w:hAnsi="宋体" w:eastAsia="宋体" w:cs="宋体"/>
          <w:color w:val="000000"/>
        </w:rPr>
        <w:t>影响甲地附近锋线两侧气温差异的主要因素是（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018FB72B">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rFonts w:hint="eastAsia" w:ascii="宋体" w:hAnsi="宋体" w:cs="宋体"/>
          <w:color w:val="000000"/>
          <w:lang w:val="en-US" w:eastAsia="zh-CN"/>
        </w:rPr>
      </w:pPr>
      <w:r>
        <w:rPr>
          <w:color w:val="000000"/>
        </w:rPr>
        <w:t xml:space="preserve">A. </w:t>
      </w:r>
      <w:r>
        <w:rPr>
          <w:rFonts w:ascii="宋体" w:hAnsi="宋体" w:eastAsia="宋体" w:cs="宋体"/>
          <w:color w:val="000000"/>
        </w:rPr>
        <w:t>气团性质</w:t>
      </w:r>
      <w:r>
        <w:rPr>
          <w:rFonts w:hint="eastAsia" w:ascii="宋体" w:hAnsi="宋体" w:cs="宋体"/>
          <w:color w:val="000000"/>
          <w:lang w:val="en-US" w:eastAsia="zh-CN"/>
        </w:rPr>
        <w:t xml:space="preserve"> </w:t>
      </w:r>
    </w:p>
    <w:p w14:paraId="6FD875C8">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B. </w:t>
      </w:r>
      <w:r>
        <w:rPr>
          <w:rFonts w:ascii="宋体" w:hAnsi="宋体" w:eastAsia="宋体" w:cs="宋体"/>
          <w:color w:val="000000"/>
        </w:rPr>
        <w:t>昼夜长短</w:t>
      </w:r>
      <w:r>
        <w:rPr>
          <w:color w:val="000000"/>
        </w:rPr>
        <w:tab/>
      </w:r>
    </w:p>
    <w:p w14:paraId="39D106B3">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rFonts w:hint="eastAsia" w:ascii="宋体" w:hAnsi="宋体" w:cs="宋体"/>
          <w:color w:val="000000"/>
          <w:lang w:val="en-US" w:eastAsia="zh-CN"/>
        </w:rPr>
      </w:pPr>
      <w:r>
        <w:rPr>
          <w:color w:val="000000"/>
        </w:rPr>
        <w:t xml:space="preserve">C. </w:t>
      </w:r>
      <w:r>
        <w:rPr>
          <w:rFonts w:ascii="宋体" w:hAnsi="宋体" w:eastAsia="宋体" w:cs="宋体"/>
          <w:color w:val="000000"/>
        </w:rPr>
        <w:t>海陆位置</w:t>
      </w:r>
      <w:r>
        <w:rPr>
          <w:rFonts w:hint="eastAsia" w:ascii="宋体" w:hAnsi="宋体" w:cs="宋体"/>
          <w:color w:val="000000"/>
          <w:lang w:val="en-US" w:eastAsia="zh-CN"/>
        </w:rPr>
        <w:t xml:space="preserve"> </w:t>
      </w:r>
    </w:p>
    <w:p w14:paraId="1A98A62C">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rFonts w:ascii="楷体" w:hAnsi="楷体" w:eastAsia="楷体" w:cs="楷体"/>
          <w:color w:val="000000"/>
        </w:rPr>
      </w:pPr>
      <w:r>
        <w:rPr>
          <w:color w:val="000000"/>
        </w:rPr>
        <w:t xml:space="preserve">D. </w:t>
      </w:r>
      <w:r>
        <w:rPr>
          <w:rFonts w:ascii="宋体" w:hAnsi="宋体" w:eastAsia="宋体" w:cs="宋体"/>
          <w:color w:val="000000"/>
        </w:rPr>
        <w:t>大气环流</w:t>
      </w:r>
    </w:p>
    <w:p w14:paraId="35AE0ADE">
      <w:pPr>
        <w:keepNext w:val="0"/>
        <w:keepLines w:val="0"/>
        <w:pageBreakBefore w:val="0"/>
        <w:widowControl w:val="0"/>
        <w:kinsoku/>
        <w:wordWrap/>
        <w:overflowPunct/>
        <w:topLinePunct w:val="0"/>
        <w:autoSpaceDE/>
        <w:autoSpaceDN/>
        <w:bidi w:val="0"/>
        <w:adjustRightInd/>
        <w:snapToGrid/>
        <w:spacing w:line="240" w:lineRule="auto"/>
        <w:ind w:firstLine="420"/>
        <w:jc w:val="both"/>
        <w:textAlignment w:val="center"/>
        <w:rPr>
          <w:rFonts w:ascii="楷体" w:hAnsi="楷体" w:eastAsia="楷体" w:cs="楷体"/>
          <w:color w:val="000000"/>
        </w:rPr>
      </w:pPr>
    </w:p>
    <w:p w14:paraId="2FB93340">
      <w:pPr>
        <w:keepNext w:val="0"/>
        <w:keepLines w:val="0"/>
        <w:pageBreakBefore w:val="0"/>
        <w:widowControl w:val="0"/>
        <w:kinsoku/>
        <w:wordWrap/>
        <w:overflowPunct/>
        <w:topLinePunct w:val="0"/>
        <w:autoSpaceDE/>
        <w:autoSpaceDN/>
        <w:bidi w:val="0"/>
        <w:adjustRightInd/>
        <w:snapToGrid/>
        <w:spacing w:line="240" w:lineRule="auto"/>
        <w:ind w:firstLine="420"/>
        <w:jc w:val="both"/>
        <w:textAlignment w:val="center"/>
        <w:rPr>
          <w:color w:val="000000"/>
        </w:rPr>
      </w:pPr>
      <w:r>
        <w:rPr>
          <w:rFonts w:ascii="楷体" w:hAnsi="楷体" w:eastAsia="楷体" w:cs="楷体"/>
          <w:color w:val="000000"/>
        </w:rPr>
        <w:t>下图为</w:t>
      </w:r>
      <w:r>
        <w:rPr>
          <w:rFonts w:ascii="宋体" w:hAnsi="宋体" w:eastAsia="宋体" w:cs="宋体"/>
          <w:color w:val="000000"/>
        </w:rPr>
        <w:t>“</w:t>
      </w:r>
      <w:r>
        <w:rPr>
          <w:rFonts w:ascii="楷体" w:hAnsi="楷体" w:eastAsia="楷体" w:cs="楷体"/>
          <w:color w:val="000000"/>
        </w:rPr>
        <w:t>某区域地质简图</w:t>
      </w:r>
      <w:r>
        <w:rPr>
          <w:rFonts w:ascii="宋体" w:hAnsi="宋体" w:eastAsia="宋体" w:cs="宋体"/>
          <w:color w:val="000000"/>
        </w:rPr>
        <w:t>”</w:t>
      </w:r>
      <w:r>
        <w:rPr>
          <w:rFonts w:ascii="楷体" w:hAnsi="楷体" w:eastAsia="楷体" w:cs="楷体"/>
          <w:color w:val="000000"/>
        </w:rPr>
        <w:t>。完成下面小题。</w:t>
      </w:r>
    </w:p>
    <w:p w14:paraId="618AFBB4">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color w:val="000000"/>
        </w:rPr>
        <w:drawing>
          <wp:inline distT="0" distB="0" distL="114300" distR="114300">
            <wp:extent cx="5636260" cy="2860675"/>
            <wp:effectExtent l="0" t="0" r="2540" b="1587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5636260" cy="2860675"/>
                    </a:xfrm>
                    <a:prstGeom prst="rect">
                      <a:avLst/>
                    </a:prstGeom>
                  </pic:spPr>
                </pic:pic>
              </a:graphicData>
            </a:graphic>
          </wp:inline>
        </w:drawing>
      </w:r>
    </w:p>
    <w:p w14:paraId="5F17F29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9. </w:t>
      </w:r>
      <w:r>
        <w:rPr>
          <w:rFonts w:ascii="宋体" w:hAnsi="宋体" w:eastAsia="宋体" w:cs="宋体"/>
          <w:color w:val="000000"/>
        </w:rPr>
        <w:t>从甲地到乙地的地形地质剖面示意图是（</w:t>
      </w:r>
      <w:r>
        <w:rPr>
          <w:rFonts w:ascii="Times New Roman" w:hAnsi="Times New Roman" w:eastAsia="Times New Roman" w:cs="Times New Roman"/>
          <w:color w:val="000000"/>
        </w:rPr>
        <w:t xml:space="preserve">   </w:t>
      </w:r>
      <w:r>
        <w:rPr>
          <w:rFonts w:ascii="宋体" w:hAnsi="宋体" w:eastAsia="宋体" w:cs="宋体"/>
          <w:color w:val="000000"/>
        </w:rPr>
        <w:t>）</w:t>
      </w:r>
    </w:p>
    <w:p w14:paraId="1C9F4762">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color w:val="000000"/>
        </w:rPr>
        <w:drawing>
          <wp:inline distT="0" distB="0" distL="114300" distR="114300">
            <wp:extent cx="5775325" cy="3058795"/>
            <wp:effectExtent l="0" t="0" r="15875" b="825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775325" cy="3058795"/>
                    </a:xfrm>
                    <a:prstGeom prst="rect">
                      <a:avLst/>
                    </a:prstGeom>
                  </pic:spPr>
                </pic:pic>
              </a:graphicData>
            </a:graphic>
          </wp:inline>
        </w:drawing>
      </w:r>
    </w:p>
    <w:p w14:paraId="78257F6C">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792DE81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10. </w:t>
      </w:r>
      <w:r>
        <w:rPr>
          <w:rFonts w:ascii="宋体" w:hAnsi="宋体" w:eastAsia="宋体" w:cs="宋体"/>
          <w:color w:val="000000"/>
        </w:rPr>
        <w:t>该区域（</w:t>
      </w:r>
      <w:r>
        <w:rPr>
          <w:rFonts w:ascii="Times New Roman" w:hAnsi="Times New Roman" w:eastAsia="Times New Roman" w:cs="Times New Roman"/>
          <w:color w:val="000000"/>
        </w:rPr>
        <w:t xml:space="preserve">   </w:t>
      </w:r>
      <w:r>
        <w:rPr>
          <w:rFonts w:ascii="宋体" w:hAnsi="宋体" w:eastAsia="宋体" w:cs="宋体"/>
          <w:color w:val="000000"/>
        </w:rPr>
        <w:t>）</w:t>
      </w:r>
    </w:p>
    <w:p w14:paraId="07C9DBA8">
      <w:pPr>
        <w:keepNext w:val="0"/>
        <w:keepLines w:val="0"/>
        <w:pageBreakBefore w:val="0"/>
        <w:widowControl w:val="0"/>
        <w:tabs>
          <w:tab w:val="left" w:pos="4873"/>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A. </w:t>
      </w:r>
      <w:r>
        <w:rPr>
          <w:rFonts w:ascii="宋体" w:hAnsi="宋体" w:eastAsia="宋体" w:cs="宋体"/>
          <w:color w:val="000000"/>
        </w:rPr>
        <w:t>①处为背斜受侵蚀的结果</w:t>
      </w:r>
      <w:r>
        <w:rPr>
          <w:color w:val="000000"/>
        </w:rPr>
        <w:tab/>
      </w:r>
      <w:r>
        <w:rPr>
          <w:color w:val="000000"/>
        </w:rPr>
        <w:t xml:space="preserve">B. </w:t>
      </w:r>
      <w:r>
        <w:rPr>
          <w:rFonts w:ascii="宋体" w:hAnsi="宋体" w:eastAsia="宋体" w:cs="宋体"/>
          <w:color w:val="000000"/>
        </w:rPr>
        <w:t>②处因差异侵蚀形成谷地</w:t>
      </w:r>
    </w:p>
    <w:p w14:paraId="7456CE7D">
      <w:pPr>
        <w:keepNext w:val="0"/>
        <w:keepLines w:val="0"/>
        <w:pageBreakBefore w:val="0"/>
        <w:widowControl w:val="0"/>
        <w:tabs>
          <w:tab w:val="left" w:pos="4873"/>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C. </w:t>
      </w:r>
      <w:r>
        <w:rPr>
          <w:rFonts w:ascii="宋体" w:hAnsi="宋体" w:eastAsia="宋体" w:cs="宋体"/>
          <w:color w:val="000000"/>
        </w:rPr>
        <w:t>③处受内力作用形成山岭</w:t>
      </w:r>
      <w:r>
        <w:rPr>
          <w:color w:val="000000"/>
        </w:rPr>
        <w:tab/>
      </w:r>
      <w:r>
        <w:rPr>
          <w:color w:val="000000"/>
        </w:rPr>
        <w:t xml:space="preserve">D. </w:t>
      </w:r>
      <w:r>
        <w:rPr>
          <w:rFonts w:ascii="Times New Roman" w:hAnsi="Times New Roman" w:eastAsia="Times New Roman" w:cs="Times New Roman"/>
          <w:color w:val="000000"/>
        </w:rPr>
        <w:t>④</w:t>
      </w:r>
      <w:r>
        <w:rPr>
          <w:rFonts w:ascii="宋体" w:hAnsi="宋体" w:eastAsia="宋体" w:cs="宋体"/>
          <w:color w:val="000000"/>
        </w:rPr>
        <w:t>处地层抬升的幅度最小</w:t>
      </w:r>
    </w:p>
    <w:p w14:paraId="19113234">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r>
        <w:rPr>
          <w:rFonts w:ascii="楷体" w:hAnsi="楷体" w:eastAsia="楷体" w:cs="楷体"/>
          <w:color w:val="000000"/>
        </w:rPr>
        <w:t>下图为我国</w:t>
      </w:r>
      <w:r>
        <w:rPr>
          <w:rFonts w:ascii="宋体" w:hAnsi="宋体" w:eastAsia="宋体" w:cs="宋体"/>
          <w:color w:val="000000"/>
        </w:rPr>
        <w:t>“</w:t>
      </w:r>
      <w:r>
        <w:rPr>
          <w:rFonts w:ascii="楷体" w:hAnsi="楷体" w:eastAsia="楷体" w:cs="楷体"/>
          <w:color w:val="000000"/>
        </w:rPr>
        <w:t>长白山北坡的垂直地域分异</w:t>
      </w:r>
      <w:r>
        <w:rPr>
          <w:rFonts w:ascii="宋体" w:hAnsi="宋体" w:eastAsia="宋体" w:cs="宋体"/>
          <w:color w:val="000000"/>
        </w:rPr>
        <w:t>”</w:t>
      </w:r>
      <w:r>
        <w:rPr>
          <w:rFonts w:ascii="楷体" w:hAnsi="楷体" w:eastAsia="楷体" w:cs="楷体"/>
          <w:color w:val="000000"/>
        </w:rPr>
        <w:t>。据此完成下面小题。</w:t>
      </w:r>
    </w:p>
    <w:p w14:paraId="756057E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drawing>
          <wp:inline distT="0" distB="0" distL="114300" distR="114300">
            <wp:extent cx="3902710" cy="2515870"/>
            <wp:effectExtent l="0" t="0" r="2540" b="1778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902710" cy="2515870"/>
                    </a:xfrm>
                    <a:prstGeom prst="rect">
                      <a:avLst/>
                    </a:prstGeom>
                  </pic:spPr>
                </pic:pic>
              </a:graphicData>
            </a:graphic>
          </wp:inline>
        </w:drawing>
      </w:r>
    </w:p>
    <w:p w14:paraId="249C31D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11. </w:t>
      </w:r>
      <w:r>
        <w:rPr>
          <w:rFonts w:ascii="宋体" w:hAnsi="宋体" w:eastAsia="宋体" w:cs="宋体"/>
          <w:color w:val="000000"/>
        </w:rPr>
        <w:t>图中①、②植被分别是（</w:t>
      </w:r>
      <w:r>
        <w:rPr>
          <w:rFonts w:ascii="Times New Roman" w:hAnsi="Times New Roman" w:eastAsia="Times New Roman" w:cs="Times New Roman"/>
          <w:color w:val="000000"/>
        </w:rPr>
        <w:t xml:space="preserve">   </w:t>
      </w:r>
      <w:r>
        <w:rPr>
          <w:rFonts w:ascii="宋体" w:hAnsi="宋体" w:eastAsia="宋体" w:cs="宋体"/>
          <w:color w:val="000000"/>
        </w:rPr>
        <w:t>）</w:t>
      </w:r>
    </w:p>
    <w:p w14:paraId="5A8A6EA8">
      <w:pPr>
        <w:keepNext w:val="0"/>
        <w:keepLines w:val="0"/>
        <w:pageBreakBefore w:val="0"/>
        <w:widowControl w:val="0"/>
        <w:tabs>
          <w:tab w:val="left" w:pos="4873"/>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A. </w:t>
      </w:r>
      <w:r>
        <w:rPr>
          <w:rFonts w:ascii="宋体" w:hAnsi="宋体" w:eastAsia="宋体" w:cs="宋体"/>
          <w:color w:val="000000"/>
        </w:rPr>
        <w:t>山地阔叶林、山地草甸</w:t>
      </w:r>
      <w:r>
        <w:rPr>
          <w:color w:val="000000"/>
        </w:rPr>
        <w:tab/>
      </w:r>
      <w:r>
        <w:rPr>
          <w:color w:val="000000"/>
        </w:rPr>
        <w:t xml:space="preserve">B. </w:t>
      </w:r>
      <w:r>
        <w:rPr>
          <w:rFonts w:ascii="宋体" w:hAnsi="宋体" w:eastAsia="宋体" w:cs="宋体"/>
          <w:color w:val="000000"/>
        </w:rPr>
        <w:t>山地针叶林、高山灌丛</w:t>
      </w:r>
    </w:p>
    <w:p w14:paraId="5BA4D64B">
      <w:pPr>
        <w:keepNext w:val="0"/>
        <w:keepLines w:val="0"/>
        <w:pageBreakBefore w:val="0"/>
        <w:widowControl w:val="0"/>
        <w:tabs>
          <w:tab w:val="left" w:pos="4873"/>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C. </w:t>
      </w:r>
      <w:r>
        <w:rPr>
          <w:rFonts w:ascii="宋体" w:hAnsi="宋体" w:eastAsia="宋体" w:cs="宋体"/>
          <w:color w:val="000000"/>
        </w:rPr>
        <w:t>山地阔叶林、山地草原</w:t>
      </w:r>
      <w:r>
        <w:rPr>
          <w:color w:val="000000"/>
        </w:rPr>
        <w:tab/>
      </w:r>
      <w:r>
        <w:rPr>
          <w:color w:val="000000"/>
        </w:rPr>
        <w:t xml:space="preserve">D. </w:t>
      </w:r>
      <w:r>
        <w:rPr>
          <w:rFonts w:ascii="宋体" w:hAnsi="宋体" w:eastAsia="宋体" w:cs="宋体"/>
          <w:color w:val="000000"/>
        </w:rPr>
        <w:t>山地针叶林、积雪冰川</w:t>
      </w:r>
    </w:p>
    <w:p w14:paraId="407CAA2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12. </w:t>
      </w:r>
      <w:r>
        <w:rPr>
          <w:rFonts w:ascii="宋体" w:hAnsi="宋体" w:eastAsia="宋体" w:cs="宋体"/>
          <w:color w:val="000000"/>
        </w:rPr>
        <w:t>受大风影响，长白山北坡岳桦林树木呈明显旗状，推测其树冠长势最好的方向是（</w:t>
      </w:r>
      <w:r>
        <w:rPr>
          <w:rFonts w:ascii="Times New Roman" w:hAnsi="Times New Roman" w:eastAsia="Times New Roman" w:cs="Times New Roman"/>
          <w:color w:val="000000"/>
        </w:rPr>
        <w:t xml:space="preserve">   </w:t>
      </w:r>
      <w:r>
        <w:rPr>
          <w:rFonts w:ascii="宋体" w:hAnsi="宋体" w:eastAsia="宋体" w:cs="宋体"/>
          <w:color w:val="000000"/>
        </w:rPr>
        <w:t>）</w:t>
      </w:r>
    </w:p>
    <w:p w14:paraId="6618B390">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A. </w:t>
      </w:r>
      <w:r>
        <w:rPr>
          <w:rFonts w:ascii="宋体" w:hAnsi="宋体" w:eastAsia="宋体" w:cs="宋体"/>
          <w:color w:val="000000"/>
        </w:rPr>
        <w:t>东北</w:t>
      </w:r>
      <w:r>
        <w:rPr>
          <w:color w:val="000000"/>
        </w:rPr>
        <w:tab/>
      </w:r>
      <w:r>
        <w:rPr>
          <w:color w:val="000000"/>
        </w:rPr>
        <w:t xml:space="preserve">B. </w:t>
      </w:r>
      <w:r>
        <w:rPr>
          <w:rFonts w:ascii="宋体" w:hAnsi="宋体" w:eastAsia="宋体" w:cs="宋体"/>
          <w:color w:val="000000"/>
        </w:rPr>
        <w:t>西北</w:t>
      </w:r>
      <w:r>
        <w:rPr>
          <w:color w:val="000000"/>
        </w:rPr>
        <w:tab/>
      </w:r>
      <w:r>
        <w:rPr>
          <w:color w:val="000000"/>
        </w:rPr>
        <w:t xml:space="preserve">C. </w:t>
      </w:r>
      <w:r>
        <w:rPr>
          <w:rFonts w:ascii="宋体" w:hAnsi="宋体" w:eastAsia="宋体" w:cs="宋体"/>
          <w:color w:val="000000"/>
        </w:rPr>
        <w:t>东南</w:t>
      </w:r>
      <w:r>
        <w:rPr>
          <w:color w:val="000000"/>
        </w:rPr>
        <w:tab/>
      </w:r>
      <w:r>
        <w:rPr>
          <w:color w:val="000000"/>
        </w:rPr>
        <w:t xml:space="preserve">D. </w:t>
      </w:r>
      <w:r>
        <w:rPr>
          <w:rFonts w:ascii="宋体" w:hAnsi="宋体" w:eastAsia="宋体" w:cs="宋体"/>
          <w:color w:val="000000"/>
        </w:rPr>
        <w:t>西南</w:t>
      </w:r>
    </w:p>
    <w:p w14:paraId="28EA198A">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13. </w:t>
      </w:r>
      <w:r>
        <w:rPr>
          <w:rFonts w:ascii="宋体" w:hAnsi="宋体" w:eastAsia="宋体" w:cs="宋体"/>
          <w:color w:val="000000"/>
        </w:rPr>
        <w:t>与图中高山荒漠形成关联度最高的是（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5B438B3">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A. </w:t>
      </w:r>
      <w:r>
        <w:rPr>
          <w:rFonts w:ascii="宋体" w:hAnsi="宋体" w:eastAsia="宋体" w:cs="宋体"/>
          <w:color w:val="000000"/>
        </w:rPr>
        <w:t>纬度较高，气温较低</w:t>
      </w:r>
      <w:r>
        <w:rPr>
          <w:color w:val="000000"/>
        </w:rPr>
        <w:tab/>
      </w:r>
      <w:r>
        <w:rPr>
          <w:color w:val="000000"/>
        </w:rPr>
        <w:t xml:space="preserve">B. </w:t>
      </w:r>
      <w:r>
        <w:rPr>
          <w:rFonts w:ascii="宋体" w:hAnsi="宋体" w:eastAsia="宋体" w:cs="宋体"/>
          <w:color w:val="000000"/>
        </w:rPr>
        <w:t>地形阻挡，降水较少</w:t>
      </w:r>
      <w:r>
        <w:rPr>
          <w:color w:val="000000"/>
        </w:rPr>
        <w:tab/>
      </w:r>
      <w:r>
        <w:rPr>
          <w:color w:val="000000"/>
        </w:rPr>
        <w:t xml:space="preserve">C. </w:t>
      </w:r>
      <w:r>
        <w:rPr>
          <w:rFonts w:ascii="宋体" w:hAnsi="宋体" w:eastAsia="宋体" w:cs="宋体"/>
          <w:color w:val="000000"/>
        </w:rPr>
        <w:t>光照充足，蒸发旺盛</w:t>
      </w:r>
      <w:r>
        <w:rPr>
          <w:color w:val="000000"/>
        </w:rPr>
        <w:tab/>
      </w:r>
      <w:r>
        <w:rPr>
          <w:color w:val="000000"/>
        </w:rPr>
        <w:t xml:space="preserve">D. </w:t>
      </w:r>
      <w:r>
        <w:rPr>
          <w:rFonts w:ascii="宋体" w:hAnsi="宋体" w:eastAsia="宋体" w:cs="宋体"/>
          <w:color w:val="000000"/>
        </w:rPr>
        <w:t>岩体裸露，土壤贫瘠</w:t>
      </w:r>
    </w:p>
    <w:p w14:paraId="1260EF9D">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rFonts w:ascii="楷体" w:hAnsi="楷体" w:eastAsia="楷体" w:cs="楷体"/>
          <w:color w:val="000000"/>
        </w:rPr>
      </w:pPr>
    </w:p>
    <w:p w14:paraId="0CB26E8C">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r>
        <w:rPr>
          <w:rFonts w:ascii="楷体" w:hAnsi="楷体" w:eastAsia="楷体" w:cs="楷体"/>
          <w:color w:val="000000"/>
        </w:rPr>
        <w:t>我国重庆秀山巨丰堰在</w:t>
      </w:r>
      <w:r>
        <w:rPr>
          <w:rFonts w:ascii="Times New Roman" w:hAnsi="Times New Roman" w:eastAsia="Times New Roman" w:cs="Times New Roman"/>
          <w:color w:val="000000"/>
        </w:rPr>
        <w:t>2024</w:t>
      </w:r>
      <w:r>
        <w:rPr>
          <w:rFonts w:ascii="楷体" w:hAnsi="楷体" w:eastAsia="楷体" w:cs="楷体"/>
          <w:color w:val="000000"/>
        </w:rPr>
        <w:t>年入选世界灌溉工程遗产名录，其具有防洪、灌溉、保障用水等功能。巨丰堰现存的堰坝轴线与河流流向呈斜向直线布置（下图）。据此完成下面小题。</w:t>
      </w:r>
    </w:p>
    <w:p w14:paraId="0B0A59A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drawing>
          <wp:inline distT="0" distB="0" distL="114300" distR="114300">
            <wp:extent cx="4092575" cy="2711450"/>
            <wp:effectExtent l="0" t="0" r="3175" b="1270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092575" cy="2711450"/>
                    </a:xfrm>
                    <a:prstGeom prst="rect">
                      <a:avLst/>
                    </a:prstGeom>
                  </pic:spPr>
                </pic:pic>
              </a:graphicData>
            </a:graphic>
          </wp:inline>
        </w:drawing>
      </w:r>
    </w:p>
    <w:p w14:paraId="593180EC">
      <w:pPr>
        <w:keepNext w:val="0"/>
        <w:keepLines w:val="0"/>
        <w:pageBreakBefore w:val="0"/>
        <w:widowControl w:val="0"/>
        <w:kinsoku/>
        <w:wordWrap/>
        <w:overflowPunct/>
        <w:topLinePunct w:val="0"/>
        <w:autoSpaceDE/>
        <w:autoSpaceDN/>
        <w:bidi w:val="0"/>
        <w:adjustRightInd w:val="0"/>
        <w:snapToGrid w:val="0"/>
        <w:spacing w:line="240" w:lineRule="auto"/>
        <w:jc w:val="left"/>
        <w:textAlignment w:val="center"/>
        <w:rPr>
          <w:color w:val="000000"/>
        </w:rPr>
      </w:pPr>
      <w:r>
        <w:rPr>
          <w:color w:val="000000"/>
        </w:rPr>
        <w:t>14</w:t>
      </w:r>
      <w:r>
        <w:rPr>
          <w:rFonts w:hint="eastAsia"/>
          <w:color w:val="000000"/>
          <w:lang w:val="en-US" w:eastAsia="zh-CN"/>
        </w:rPr>
        <w:t>.</w:t>
      </w:r>
      <w:r>
        <w:rPr>
          <w:rFonts w:ascii="宋体" w:hAnsi="宋体" w:eastAsia="宋体" w:cs="宋体"/>
          <w:color w:val="000000"/>
        </w:rPr>
        <w:t>巨丰堰堰坝轴线采用斜向直线布置主要考虑（</w:t>
      </w:r>
      <w:r>
        <w:rPr>
          <w:rFonts w:ascii="Times New Roman" w:hAnsi="Times New Roman" w:eastAsia="Times New Roman" w:cs="Times New Roman"/>
          <w:color w:val="000000"/>
        </w:rPr>
        <w:t xml:space="preserve">   </w:t>
      </w:r>
      <w:r>
        <w:rPr>
          <w:rFonts w:ascii="宋体" w:hAnsi="宋体" w:eastAsia="宋体" w:cs="宋体"/>
          <w:color w:val="000000"/>
        </w:rPr>
        <w:t>）</w:t>
      </w:r>
    </w:p>
    <w:p w14:paraId="11EA32C6">
      <w:pPr>
        <w:keepNext w:val="0"/>
        <w:keepLines w:val="0"/>
        <w:pageBreakBefore w:val="0"/>
        <w:widowControl w:val="0"/>
        <w:tabs>
          <w:tab w:val="left" w:pos="4873"/>
        </w:tabs>
        <w:kinsoku/>
        <w:wordWrap/>
        <w:overflowPunct/>
        <w:topLinePunct w:val="0"/>
        <w:autoSpaceDE/>
        <w:autoSpaceDN/>
        <w:bidi w:val="0"/>
        <w:adjustRightInd w:val="0"/>
        <w:snapToGrid w:val="0"/>
        <w:spacing w:line="240" w:lineRule="auto"/>
        <w:ind w:firstLine="210" w:firstLineChars="100"/>
        <w:jc w:val="left"/>
        <w:textAlignment w:val="center"/>
        <w:rPr>
          <w:color w:val="000000"/>
        </w:rPr>
      </w:pPr>
      <w:r>
        <w:rPr>
          <w:color w:val="000000"/>
        </w:rPr>
        <w:t xml:space="preserve">A. </w:t>
      </w:r>
      <w:r>
        <w:rPr>
          <w:rFonts w:ascii="宋体" w:hAnsi="宋体" w:eastAsia="宋体" w:cs="宋体"/>
          <w:color w:val="000000"/>
        </w:rPr>
        <w:t>溢洪防涝、引流灌溉</w:t>
      </w:r>
      <w:r>
        <w:rPr>
          <w:color w:val="000000"/>
        </w:rPr>
        <w:tab/>
      </w:r>
      <w:r>
        <w:rPr>
          <w:color w:val="000000"/>
        </w:rPr>
        <w:t xml:space="preserve">B. </w:t>
      </w:r>
      <w:r>
        <w:rPr>
          <w:rFonts w:ascii="宋体" w:hAnsi="宋体" w:eastAsia="宋体" w:cs="宋体"/>
          <w:color w:val="000000"/>
        </w:rPr>
        <w:t>引流灌溉、储水养殖</w:t>
      </w:r>
    </w:p>
    <w:p w14:paraId="5F22AFAC">
      <w:pPr>
        <w:keepNext w:val="0"/>
        <w:keepLines w:val="0"/>
        <w:pageBreakBefore w:val="0"/>
        <w:widowControl w:val="0"/>
        <w:tabs>
          <w:tab w:val="left" w:pos="4873"/>
        </w:tabs>
        <w:kinsoku/>
        <w:wordWrap/>
        <w:overflowPunct/>
        <w:topLinePunct w:val="0"/>
        <w:autoSpaceDE/>
        <w:autoSpaceDN/>
        <w:bidi w:val="0"/>
        <w:adjustRightInd w:val="0"/>
        <w:snapToGrid w:val="0"/>
        <w:spacing w:line="240" w:lineRule="auto"/>
        <w:ind w:firstLine="210" w:firstLineChars="100"/>
        <w:jc w:val="left"/>
        <w:textAlignment w:val="center"/>
        <w:rPr>
          <w:color w:val="000000"/>
        </w:rPr>
      </w:pPr>
      <w:r>
        <w:rPr>
          <w:color w:val="000000"/>
        </w:rPr>
        <w:t xml:space="preserve">C. </w:t>
      </w:r>
      <w:r>
        <w:rPr>
          <w:rFonts w:ascii="宋体" w:hAnsi="宋体" w:eastAsia="宋体" w:cs="宋体"/>
          <w:color w:val="000000"/>
        </w:rPr>
        <w:t>储水养殖、拦沙防淤</w:t>
      </w:r>
      <w:r>
        <w:rPr>
          <w:color w:val="000000"/>
        </w:rPr>
        <w:tab/>
      </w:r>
      <w:r>
        <w:rPr>
          <w:color w:val="000000"/>
        </w:rPr>
        <w:t xml:space="preserve">D. </w:t>
      </w:r>
      <w:r>
        <w:rPr>
          <w:rFonts w:ascii="宋体" w:hAnsi="宋体" w:eastAsia="宋体" w:cs="宋体"/>
          <w:color w:val="000000"/>
        </w:rPr>
        <w:t>拦沙防淤、溢洪防涝</w:t>
      </w:r>
    </w:p>
    <w:p w14:paraId="2A1EC8D8">
      <w:pPr>
        <w:keepNext w:val="0"/>
        <w:keepLines w:val="0"/>
        <w:pageBreakBefore w:val="0"/>
        <w:widowControl w:val="0"/>
        <w:kinsoku/>
        <w:wordWrap/>
        <w:overflowPunct/>
        <w:topLinePunct w:val="0"/>
        <w:autoSpaceDE/>
        <w:autoSpaceDN/>
        <w:bidi w:val="0"/>
        <w:adjustRightInd w:val="0"/>
        <w:snapToGrid w:val="0"/>
        <w:spacing w:line="240" w:lineRule="auto"/>
        <w:jc w:val="left"/>
        <w:textAlignment w:val="center"/>
        <w:rPr>
          <w:color w:val="000000"/>
        </w:rPr>
      </w:pPr>
      <w:r>
        <w:rPr>
          <w:color w:val="000000"/>
        </w:rPr>
        <w:t xml:space="preserve">15. </w:t>
      </w:r>
      <w:r>
        <w:rPr>
          <w:rFonts w:ascii="宋体" w:hAnsi="宋体" w:eastAsia="宋体" w:cs="宋体"/>
          <w:color w:val="000000"/>
        </w:rPr>
        <w:t>巨丰堰建成初期主要影响当地（</w:t>
      </w:r>
      <w:r>
        <w:rPr>
          <w:rFonts w:ascii="Times New Roman" w:hAnsi="Times New Roman" w:eastAsia="Times New Roman" w:cs="Times New Roman"/>
          <w:color w:val="000000"/>
        </w:rPr>
        <w:t xml:space="preserve">   </w:t>
      </w:r>
      <w:r>
        <w:rPr>
          <w:rFonts w:ascii="宋体" w:hAnsi="宋体" w:eastAsia="宋体" w:cs="宋体"/>
          <w:color w:val="000000"/>
        </w:rPr>
        <w:t>）</w:t>
      </w:r>
    </w:p>
    <w:p w14:paraId="62280641">
      <w:pPr>
        <w:keepNext w:val="0"/>
        <w:keepLines w:val="0"/>
        <w:pageBreakBefore w:val="0"/>
        <w:widowControl w:val="0"/>
        <w:tabs>
          <w:tab w:val="left" w:pos="2436"/>
          <w:tab w:val="left" w:pos="4873"/>
          <w:tab w:val="left" w:pos="7309"/>
        </w:tabs>
        <w:kinsoku/>
        <w:wordWrap/>
        <w:overflowPunct/>
        <w:topLinePunct w:val="0"/>
        <w:autoSpaceDE/>
        <w:autoSpaceDN/>
        <w:bidi w:val="0"/>
        <w:adjustRightInd w:val="0"/>
        <w:snapToGrid w:val="0"/>
        <w:spacing w:line="240" w:lineRule="auto"/>
        <w:ind w:firstLine="210" w:firstLineChars="100"/>
        <w:jc w:val="left"/>
        <w:textAlignment w:val="center"/>
        <w:rPr>
          <w:color w:val="000000"/>
        </w:rPr>
      </w:pPr>
      <w:r>
        <w:rPr>
          <w:color w:val="000000"/>
        </w:rPr>
        <w:t xml:space="preserve">A. </w:t>
      </w:r>
      <w:r>
        <w:rPr>
          <w:rFonts w:ascii="宋体" w:hAnsi="宋体" w:eastAsia="宋体" w:cs="宋体"/>
          <w:color w:val="000000"/>
        </w:rPr>
        <w:t>区域旅游发展</w:t>
      </w:r>
      <w:r>
        <w:rPr>
          <w:color w:val="000000"/>
        </w:rPr>
        <w:tab/>
      </w:r>
      <w:r>
        <w:rPr>
          <w:color w:val="000000"/>
        </w:rPr>
        <w:t xml:space="preserve">B. </w:t>
      </w:r>
      <w:r>
        <w:rPr>
          <w:rFonts w:ascii="宋体" w:hAnsi="宋体" w:eastAsia="宋体" w:cs="宋体"/>
          <w:color w:val="000000"/>
        </w:rPr>
        <w:t>农田分布格局</w:t>
      </w:r>
      <w:r>
        <w:rPr>
          <w:color w:val="000000"/>
        </w:rPr>
        <w:tab/>
      </w:r>
      <w:r>
        <w:rPr>
          <w:color w:val="000000"/>
        </w:rPr>
        <w:t xml:space="preserve">C. </w:t>
      </w:r>
      <w:r>
        <w:rPr>
          <w:rFonts w:ascii="宋体" w:hAnsi="宋体" w:eastAsia="宋体" w:cs="宋体"/>
          <w:color w:val="000000"/>
        </w:rPr>
        <w:t>水循环的类型</w:t>
      </w:r>
      <w:r>
        <w:rPr>
          <w:color w:val="000000"/>
        </w:rPr>
        <w:tab/>
      </w:r>
      <w:r>
        <w:rPr>
          <w:color w:val="000000"/>
        </w:rPr>
        <w:t xml:space="preserve">D. </w:t>
      </w:r>
      <w:r>
        <w:rPr>
          <w:rFonts w:ascii="宋体" w:hAnsi="宋体" w:eastAsia="宋体" w:cs="宋体"/>
          <w:color w:val="000000"/>
        </w:rPr>
        <w:t>自然植被特征</w:t>
      </w:r>
    </w:p>
    <w:p w14:paraId="2D3F3499">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r>
        <w:rPr>
          <w:rFonts w:ascii="楷体" w:hAnsi="楷体" w:eastAsia="楷体" w:cs="楷体"/>
          <w:color w:val="000000"/>
        </w:rPr>
        <w:t>城镇人口增长和城镇建设用地扩张的协同关系是制定城镇化发展规划的重要依据。下图为</w:t>
      </w:r>
      <w:r>
        <w:rPr>
          <w:rFonts w:ascii="宋体" w:hAnsi="宋体" w:eastAsia="宋体" w:cs="宋体"/>
          <w:color w:val="000000"/>
        </w:rPr>
        <w:t>“</w:t>
      </w:r>
      <w:r>
        <w:rPr>
          <w:rFonts w:ascii="Times New Roman" w:hAnsi="Times New Roman" w:eastAsia="Times New Roman" w:cs="Times New Roman"/>
          <w:color w:val="000000"/>
        </w:rPr>
        <w:t>2010—2020</w:t>
      </w:r>
      <w:r>
        <w:rPr>
          <w:rFonts w:ascii="楷体" w:hAnsi="楷体" w:eastAsia="楷体" w:cs="楷体"/>
          <w:color w:val="000000"/>
        </w:rPr>
        <w:t>年我国部分城市群城镇人口和城镇建设用地情况及协调性示意图</w:t>
      </w:r>
      <w:r>
        <w:rPr>
          <w:rFonts w:ascii="宋体" w:hAnsi="宋体" w:eastAsia="宋体" w:cs="宋体"/>
          <w:color w:val="000000"/>
        </w:rPr>
        <w:t>”</w:t>
      </w:r>
      <w:r>
        <w:rPr>
          <w:rFonts w:ascii="楷体" w:hAnsi="楷体" w:eastAsia="楷体" w:cs="楷体"/>
          <w:color w:val="000000"/>
        </w:rPr>
        <w:t>。据此完成下面小题。</w:t>
      </w:r>
    </w:p>
    <w:p w14:paraId="5EEB045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drawing>
          <wp:inline distT="0" distB="0" distL="114300" distR="114300">
            <wp:extent cx="3933190" cy="2626360"/>
            <wp:effectExtent l="0" t="0" r="10160" b="254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933190" cy="2626360"/>
                    </a:xfrm>
                    <a:prstGeom prst="rect">
                      <a:avLst/>
                    </a:prstGeom>
                  </pic:spPr>
                </pic:pic>
              </a:graphicData>
            </a:graphic>
          </wp:inline>
        </w:drawing>
      </w:r>
    </w:p>
    <w:p w14:paraId="533CD82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16. </w:t>
      </w:r>
      <w:r>
        <w:rPr>
          <w:rFonts w:ascii="宋体" w:hAnsi="宋体" w:eastAsia="宋体" w:cs="宋体"/>
          <w:color w:val="000000"/>
        </w:rPr>
        <w:t>与长三角城市群相比，山东半岛城市群（</w:t>
      </w:r>
      <w:r>
        <w:rPr>
          <w:rFonts w:ascii="Times New Roman" w:hAnsi="Times New Roman" w:eastAsia="Times New Roman" w:cs="Times New Roman"/>
          <w:color w:val="000000"/>
        </w:rPr>
        <w:t xml:space="preserve">   </w:t>
      </w:r>
      <w:r>
        <w:rPr>
          <w:rFonts w:ascii="宋体" w:hAnsi="宋体" w:eastAsia="宋体" w:cs="宋体"/>
          <w:color w:val="000000"/>
        </w:rPr>
        <w:t>）</w:t>
      </w:r>
    </w:p>
    <w:p w14:paraId="05B8C8E8">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A. </w:t>
      </w:r>
      <w:r>
        <w:rPr>
          <w:rFonts w:ascii="宋体" w:hAnsi="宋体" w:eastAsia="宋体" w:cs="宋体"/>
          <w:color w:val="000000"/>
        </w:rPr>
        <w:t>土地利用率较低</w:t>
      </w:r>
      <w:r>
        <w:rPr>
          <w:color w:val="000000"/>
        </w:rPr>
        <w:tab/>
      </w:r>
      <w:r>
        <w:rPr>
          <w:color w:val="000000"/>
        </w:rPr>
        <w:t xml:space="preserve">B. </w:t>
      </w:r>
      <w:r>
        <w:rPr>
          <w:rFonts w:ascii="宋体" w:hAnsi="宋体" w:eastAsia="宋体" w:cs="宋体"/>
          <w:color w:val="000000"/>
        </w:rPr>
        <w:t>公共设施较充足</w:t>
      </w:r>
      <w:r>
        <w:rPr>
          <w:color w:val="000000"/>
        </w:rPr>
        <w:tab/>
      </w:r>
      <w:r>
        <w:rPr>
          <w:color w:val="000000"/>
        </w:rPr>
        <w:t xml:space="preserve">C. </w:t>
      </w:r>
      <w:r>
        <w:rPr>
          <w:rFonts w:ascii="宋体" w:hAnsi="宋体" w:eastAsia="宋体" w:cs="宋体"/>
          <w:color w:val="000000"/>
        </w:rPr>
        <w:t>虹吸效应更显著</w:t>
      </w:r>
      <w:r>
        <w:rPr>
          <w:color w:val="000000"/>
        </w:rPr>
        <w:tab/>
      </w:r>
      <w:r>
        <w:rPr>
          <w:color w:val="000000"/>
        </w:rPr>
        <w:t xml:space="preserve">D. </w:t>
      </w:r>
      <w:r>
        <w:rPr>
          <w:rFonts w:ascii="宋体" w:hAnsi="宋体" w:eastAsia="宋体" w:cs="宋体"/>
          <w:color w:val="000000"/>
        </w:rPr>
        <w:t>人地关系更协调</w:t>
      </w:r>
    </w:p>
    <w:p w14:paraId="11283A8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17. </w:t>
      </w:r>
      <w:r>
        <w:rPr>
          <w:rFonts w:ascii="宋体" w:hAnsi="宋体" w:eastAsia="宋体" w:cs="宋体"/>
          <w:color w:val="000000"/>
        </w:rPr>
        <w:t>为进一步提升城镇人口和城镇建设用地的协调性，符合因地施策的是（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514D10B">
      <w:pPr>
        <w:keepNext w:val="0"/>
        <w:keepLines w:val="0"/>
        <w:pageBreakBefore w:val="0"/>
        <w:widowControl w:val="0"/>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A</w:t>
      </w:r>
      <w:r>
        <w:rPr>
          <w:rFonts w:hint="eastAsia"/>
          <w:color w:val="000000"/>
          <w:lang w:val="en-US" w:eastAsia="zh-CN"/>
        </w:rPr>
        <w:t>.</w:t>
      </w:r>
      <w:r>
        <w:rPr>
          <w:rFonts w:ascii="宋体" w:hAnsi="宋体" w:eastAsia="宋体" w:cs="宋体"/>
          <w:color w:val="000000"/>
        </w:rPr>
        <w:t>辽中南城市群</w:t>
      </w:r>
      <w:r>
        <w:rPr>
          <w:rFonts w:ascii="Times New Roman" w:hAnsi="Times New Roman" w:eastAsia="Times New Roman" w:cs="Times New Roman"/>
          <w:color w:val="000000"/>
        </w:rPr>
        <w:t>——</w:t>
      </w:r>
      <w:r>
        <w:rPr>
          <w:rFonts w:ascii="宋体" w:hAnsi="宋体" w:eastAsia="宋体" w:cs="宋体"/>
          <w:color w:val="000000"/>
        </w:rPr>
        <w:t>推动产业转型，增强经济活力</w:t>
      </w:r>
    </w:p>
    <w:p w14:paraId="57DD3A8A">
      <w:pPr>
        <w:keepNext w:val="0"/>
        <w:keepLines w:val="0"/>
        <w:pageBreakBefore w:val="0"/>
        <w:widowControl w:val="0"/>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B. </w:t>
      </w:r>
      <w:r>
        <w:rPr>
          <w:rFonts w:ascii="宋体" w:hAnsi="宋体" w:eastAsia="宋体" w:cs="宋体"/>
          <w:color w:val="000000"/>
        </w:rPr>
        <w:t>京津冀城市群</w:t>
      </w:r>
      <w:r>
        <w:rPr>
          <w:rFonts w:ascii="Times New Roman" w:hAnsi="Times New Roman" w:eastAsia="Times New Roman" w:cs="Times New Roman"/>
          <w:color w:val="000000"/>
        </w:rPr>
        <w:t>——</w:t>
      </w:r>
      <w:r>
        <w:rPr>
          <w:rFonts w:ascii="宋体" w:hAnsi="宋体" w:eastAsia="宋体" w:cs="宋体"/>
          <w:color w:val="000000"/>
        </w:rPr>
        <w:t>出台相关政策，鼓励人口生育</w:t>
      </w:r>
    </w:p>
    <w:p w14:paraId="200B2A3E">
      <w:pPr>
        <w:keepNext w:val="0"/>
        <w:keepLines w:val="0"/>
        <w:pageBreakBefore w:val="0"/>
        <w:widowControl w:val="0"/>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C. </w:t>
      </w:r>
      <w:r>
        <w:rPr>
          <w:rFonts w:ascii="宋体" w:hAnsi="宋体" w:eastAsia="宋体" w:cs="宋体"/>
          <w:color w:val="000000"/>
        </w:rPr>
        <w:t>粤港澳大湾区</w:t>
      </w:r>
      <w:r>
        <w:rPr>
          <w:rFonts w:ascii="Times New Roman" w:hAnsi="Times New Roman" w:eastAsia="Times New Roman" w:cs="Times New Roman"/>
          <w:color w:val="000000"/>
        </w:rPr>
        <w:t>——</w:t>
      </w:r>
      <w:r>
        <w:rPr>
          <w:rFonts w:ascii="宋体" w:hAnsi="宋体" w:eastAsia="宋体" w:cs="宋体"/>
          <w:color w:val="000000"/>
        </w:rPr>
        <w:t>践行绿色理念，禁止土地扩张</w:t>
      </w:r>
    </w:p>
    <w:p w14:paraId="6DE92141">
      <w:pPr>
        <w:keepNext w:val="0"/>
        <w:keepLines w:val="0"/>
        <w:pageBreakBefore w:val="0"/>
        <w:widowControl w:val="0"/>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D</w:t>
      </w:r>
      <w:r>
        <w:rPr>
          <w:rFonts w:hint="eastAsia"/>
          <w:color w:val="000000"/>
          <w:lang w:val="en-US" w:eastAsia="zh-CN"/>
        </w:rPr>
        <w:t>.</w:t>
      </w:r>
      <w:r>
        <w:rPr>
          <w:rFonts w:ascii="宋体" w:hAnsi="宋体" w:eastAsia="宋体" w:cs="宋体"/>
          <w:color w:val="000000"/>
        </w:rPr>
        <w:t>成渝城市群</w:t>
      </w:r>
      <w:r>
        <w:rPr>
          <w:rFonts w:ascii="Times New Roman" w:hAnsi="Times New Roman" w:eastAsia="Times New Roman" w:cs="Times New Roman"/>
          <w:color w:val="000000"/>
        </w:rPr>
        <w:t>——</w:t>
      </w:r>
      <w:r>
        <w:rPr>
          <w:rFonts w:ascii="宋体" w:hAnsi="宋体" w:eastAsia="宋体" w:cs="宋体"/>
          <w:color w:val="000000"/>
        </w:rPr>
        <w:t>引导人口流入，加速人口集聚</w:t>
      </w:r>
    </w:p>
    <w:p w14:paraId="17B057BC">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r>
        <w:rPr>
          <w:rFonts w:ascii="楷体" w:hAnsi="楷体" w:eastAsia="楷体" w:cs="楷体"/>
          <w:color w:val="000000"/>
        </w:rPr>
        <w:t>工业遗产是文化遗产的重要组成部分。根据《中国工业遗产保护名录》分类标准，东北工业遗产包括</w:t>
      </w:r>
      <w:r>
        <w:rPr>
          <w:rFonts w:ascii="Times New Roman" w:hAnsi="Times New Roman" w:eastAsia="Times New Roman" w:cs="Times New Roman"/>
          <w:color w:val="000000"/>
        </w:rPr>
        <w:t>10</w:t>
      </w:r>
      <w:r>
        <w:rPr>
          <w:rFonts w:ascii="楷体" w:hAnsi="楷体" w:eastAsia="楷体" w:cs="楷体"/>
          <w:color w:val="000000"/>
        </w:rPr>
        <w:t>个类型，下图为</w:t>
      </w:r>
      <w:r>
        <w:rPr>
          <w:rFonts w:ascii="宋体" w:hAnsi="宋体" w:eastAsia="宋体" w:cs="宋体"/>
          <w:color w:val="000000"/>
        </w:rPr>
        <w:t>“</w:t>
      </w:r>
      <w:r>
        <w:rPr>
          <w:rFonts w:ascii="楷体" w:hAnsi="楷体" w:eastAsia="楷体" w:cs="楷体"/>
          <w:color w:val="000000"/>
        </w:rPr>
        <w:t>东北地区工业遗产类型及数量</w:t>
      </w:r>
      <w:r>
        <w:rPr>
          <w:rFonts w:ascii="宋体" w:hAnsi="宋体" w:eastAsia="宋体" w:cs="宋体"/>
          <w:color w:val="000000"/>
        </w:rPr>
        <w:t>”</w:t>
      </w:r>
      <w:r>
        <w:rPr>
          <w:rFonts w:ascii="楷体" w:hAnsi="楷体" w:eastAsia="楷体" w:cs="楷体"/>
          <w:color w:val="000000"/>
        </w:rPr>
        <w:t>。据此完成下面小题。</w:t>
      </w:r>
    </w:p>
    <w:p w14:paraId="617C5C1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drawing>
          <wp:inline distT="0" distB="0" distL="114300" distR="114300">
            <wp:extent cx="3909695" cy="2304415"/>
            <wp:effectExtent l="0" t="0" r="14605" b="63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909695" cy="2304415"/>
                    </a:xfrm>
                    <a:prstGeom prst="rect">
                      <a:avLst/>
                    </a:prstGeom>
                  </pic:spPr>
                </pic:pic>
              </a:graphicData>
            </a:graphic>
          </wp:inline>
        </w:drawing>
      </w:r>
    </w:p>
    <w:p w14:paraId="00F78E98">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18. </w:t>
      </w:r>
      <w:r>
        <w:rPr>
          <w:rFonts w:ascii="宋体" w:hAnsi="宋体" w:eastAsia="宋体" w:cs="宋体"/>
          <w:color w:val="000000"/>
        </w:rPr>
        <w:t>影响东北工业遗产类型与数量的主要因素是（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649C735A">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A. </w:t>
      </w:r>
      <w:r>
        <w:rPr>
          <w:rFonts w:ascii="宋体" w:hAnsi="宋体" w:eastAsia="宋体" w:cs="宋体"/>
          <w:color w:val="000000"/>
        </w:rPr>
        <w:t>市场需求</w:t>
      </w:r>
      <w:r>
        <w:rPr>
          <w:color w:val="000000"/>
        </w:rPr>
        <w:tab/>
      </w:r>
      <w:r>
        <w:rPr>
          <w:color w:val="000000"/>
        </w:rPr>
        <w:t xml:space="preserve">B. </w:t>
      </w:r>
      <w:r>
        <w:rPr>
          <w:rFonts w:ascii="宋体" w:hAnsi="宋体" w:eastAsia="宋体" w:cs="宋体"/>
          <w:color w:val="000000"/>
        </w:rPr>
        <w:t>资源禀赋</w:t>
      </w:r>
      <w:r>
        <w:rPr>
          <w:color w:val="000000"/>
        </w:rPr>
        <w:tab/>
      </w:r>
      <w:r>
        <w:rPr>
          <w:color w:val="000000"/>
        </w:rPr>
        <w:t xml:space="preserve">C. </w:t>
      </w:r>
      <w:r>
        <w:rPr>
          <w:rFonts w:ascii="宋体" w:hAnsi="宋体" w:eastAsia="宋体" w:cs="宋体"/>
          <w:color w:val="000000"/>
        </w:rPr>
        <w:t>土地利用</w:t>
      </w:r>
      <w:r>
        <w:rPr>
          <w:color w:val="000000"/>
        </w:rPr>
        <w:tab/>
      </w:r>
      <w:r>
        <w:rPr>
          <w:color w:val="000000"/>
        </w:rPr>
        <w:t xml:space="preserve">D. </w:t>
      </w:r>
      <w:r>
        <w:rPr>
          <w:rFonts w:ascii="宋体" w:hAnsi="宋体" w:eastAsia="宋体" w:cs="宋体"/>
          <w:color w:val="000000"/>
        </w:rPr>
        <w:t>科技水平</w:t>
      </w:r>
    </w:p>
    <w:p w14:paraId="20D4CAAA">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19. </w:t>
      </w:r>
      <w:r>
        <w:rPr>
          <w:rFonts w:ascii="宋体" w:hAnsi="宋体" w:eastAsia="宋体" w:cs="宋体"/>
          <w:color w:val="000000"/>
        </w:rPr>
        <w:t>图中</w:t>
      </w:r>
      <w:r>
        <w:rPr>
          <w:rFonts w:ascii="Times New Roman" w:hAnsi="Times New Roman" w:eastAsia="Times New Roman" w:cs="Times New Roman"/>
          <w:color w:val="000000"/>
        </w:rPr>
        <w:t>M</w:t>
      </w:r>
      <w:r>
        <w:rPr>
          <w:rFonts w:ascii="宋体" w:hAnsi="宋体" w:eastAsia="宋体" w:cs="宋体"/>
          <w:color w:val="000000"/>
        </w:rPr>
        <w:t>最可能为（</w:t>
      </w:r>
      <w:r>
        <w:rPr>
          <w:rFonts w:ascii="Times New Roman" w:hAnsi="Times New Roman" w:eastAsia="Times New Roman" w:cs="Times New Roman"/>
          <w:color w:val="000000"/>
        </w:rPr>
        <w:t xml:space="preserve">   </w:t>
      </w:r>
      <w:r>
        <w:rPr>
          <w:rFonts w:ascii="宋体" w:hAnsi="宋体" w:eastAsia="宋体" w:cs="宋体"/>
          <w:color w:val="000000"/>
        </w:rPr>
        <w:t>）</w:t>
      </w:r>
    </w:p>
    <w:p w14:paraId="289AF864">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A. </w:t>
      </w:r>
      <w:r>
        <w:rPr>
          <w:rFonts w:ascii="宋体" w:hAnsi="宋体" w:eastAsia="宋体" w:cs="宋体"/>
          <w:color w:val="000000"/>
        </w:rPr>
        <w:t>家具</w:t>
      </w:r>
      <w:r>
        <w:rPr>
          <w:color w:val="000000"/>
        </w:rPr>
        <w:tab/>
      </w:r>
      <w:r>
        <w:rPr>
          <w:color w:val="000000"/>
        </w:rPr>
        <w:t xml:space="preserve">B. </w:t>
      </w:r>
      <w:r>
        <w:rPr>
          <w:rFonts w:ascii="宋体" w:hAnsi="宋体" w:eastAsia="宋体" w:cs="宋体"/>
          <w:color w:val="000000"/>
        </w:rPr>
        <w:t>航空</w:t>
      </w:r>
      <w:r>
        <w:rPr>
          <w:color w:val="000000"/>
        </w:rPr>
        <w:tab/>
      </w:r>
      <w:r>
        <w:rPr>
          <w:color w:val="000000"/>
        </w:rPr>
        <w:t xml:space="preserve">C. </w:t>
      </w:r>
      <w:r>
        <w:rPr>
          <w:rFonts w:ascii="宋体" w:hAnsi="宋体" w:eastAsia="宋体" w:cs="宋体"/>
          <w:color w:val="000000"/>
        </w:rPr>
        <w:t>交通</w:t>
      </w:r>
      <w:r>
        <w:rPr>
          <w:color w:val="000000"/>
        </w:rPr>
        <w:tab/>
      </w:r>
      <w:r>
        <w:rPr>
          <w:color w:val="000000"/>
        </w:rPr>
        <w:t xml:space="preserve">D. </w:t>
      </w:r>
      <w:r>
        <w:rPr>
          <w:rFonts w:ascii="宋体" w:hAnsi="宋体" w:eastAsia="宋体" w:cs="宋体"/>
          <w:color w:val="000000"/>
        </w:rPr>
        <w:t>食品</w:t>
      </w:r>
    </w:p>
    <w:p w14:paraId="2DE32B7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20. </w:t>
      </w:r>
      <w:r>
        <w:rPr>
          <w:rFonts w:ascii="宋体" w:hAnsi="宋体" w:eastAsia="宋体" w:cs="宋体"/>
          <w:color w:val="000000"/>
        </w:rPr>
        <w:t>为促进东北工业遗产集中区经济高质量发展，当地应（</w:t>
      </w:r>
      <w:r>
        <w:rPr>
          <w:rFonts w:ascii="Times New Roman" w:hAnsi="Times New Roman" w:eastAsia="Times New Roman" w:cs="Times New Roman"/>
          <w:color w:val="000000"/>
        </w:rPr>
        <w:t xml:space="preserve">   </w:t>
      </w:r>
      <w:r>
        <w:rPr>
          <w:rFonts w:ascii="宋体" w:hAnsi="宋体" w:eastAsia="宋体" w:cs="宋体"/>
          <w:color w:val="000000"/>
        </w:rPr>
        <w:t>）</w:t>
      </w:r>
    </w:p>
    <w:p w14:paraId="6A23D5C9">
      <w:pPr>
        <w:keepNext w:val="0"/>
        <w:keepLines w:val="0"/>
        <w:pageBreakBefore w:val="0"/>
        <w:widowControl w:val="0"/>
        <w:tabs>
          <w:tab w:val="left" w:pos="4873"/>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A. </w:t>
      </w:r>
      <w:r>
        <w:rPr>
          <w:rFonts w:ascii="宋体" w:hAnsi="宋体" w:eastAsia="宋体" w:cs="宋体"/>
          <w:color w:val="000000"/>
        </w:rPr>
        <w:t>大力发展高新技术产业</w:t>
      </w:r>
      <w:r>
        <w:rPr>
          <w:color w:val="000000"/>
        </w:rPr>
        <w:tab/>
      </w:r>
      <w:r>
        <w:rPr>
          <w:color w:val="000000"/>
        </w:rPr>
        <w:t xml:space="preserve">B. </w:t>
      </w:r>
      <w:r>
        <w:rPr>
          <w:rFonts w:ascii="宋体" w:hAnsi="宋体" w:eastAsia="宋体" w:cs="宋体"/>
          <w:color w:val="000000"/>
        </w:rPr>
        <w:t>恢复工业遗产生产功能</w:t>
      </w:r>
    </w:p>
    <w:p w14:paraId="58140A0E">
      <w:pPr>
        <w:keepNext w:val="0"/>
        <w:keepLines w:val="0"/>
        <w:pageBreakBefore w:val="0"/>
        <w:widowControl w:val="0"/>
        <w:tabs>
          <w:tab w:val="left" w:pos="4873"/>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C. </w:t>
      </w:r>
      <w:r>
        <w:rPr>
          <w:rFonts w:ascii="宋体" w:hAnsi="宋体" w:eastAsia="宋体" w:cs="宋体"/>
          <w:color w:val="000000"/>
        </w:rPr>
        <w:t>保持传统产业规模优势</w:t>
      </w:r>
      <w:r>
        <w:rPr>
          <w:color w:val="000000"/>
        </w:rPr>
        <w:tab/>
      </w:r>
      <w:r>
        <w:rPr>
          <w:color w:val="000000"/>
        </w:rPr>
        <w:t xml:space="preserve">D. </w:t>
      </w:r>
      <w:r>
        <w:rPr>
          <w:rFonts w:ascii="宋体" w:hAnsi="宋体" w:eastAsia="宋体" w:cs="宋体"/>
          <w:color w:val="000000"/>
        </w:rPr>
        <w:t>协同文旅产业深度融合</w:t>
      </w:r>
    </w:p>
    <w:p w14:paraId="36ECF4E7">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r>
        <w:rPr>
          <w:rFonts w:ascii="楷体" w:hAnsi="楷体" w:eastAsia="楷体" w:cs="楷体"/>
          <w:color w:val="000000"/>
        </w:rPr>
        <w:t>江苏省是我国</w:t>
      </w:r>
      <w:r>
        <w:rPr>
          <w:rFonts w:ascii="Times New Roman" w:hAnsi="Times New Roman" w:eastAsia="Times New Roman" w:cs="Times New Roman"/>
          <w:color w:val="000000"/>
        </w:rPr>
        <w:t>13</w:t>
      </w:r>
      <w:r>
        <w:rPr>
          <w:rFonts w:ascii="楷体" w:hAnsi="楷体" w:eastAsia="楷体" w:cs="楷体"/>
          <w:color w:val="000000"/>
        </w:rPr>
        <w:t>个粮食主产区之一，粮食单产居全国第二，水稻单产居全国第一。目前省内基本形成苏南粮食销区、苏北粮食产区的格局，下图为</w:t>
      </w:r>
      <w:r>
        <w:rPr>
          <w:rFonts w:ascii="宋体" w:hAnsi="宋体" w:eastAsia="宋体" w:cs="宋体"/>
          <w:color w:val="000000"/>
        </w:rPr>
        <w:t>“</w:t>
      </w:r>
      <w:r>
        <w:rPr>
          <w:rFonts w:ascii="Times New Roman" w:hAnsi="Times New Roman" w:eastAsia="Times New Roman" w:cs="Times New Roman"/>
          <w:color w:val="000000"/>
        </w:rPr>
        <w:t>2022</w:t>
      </w:r>
      <w:r>
        <w:rPr>
          <w:rFonts w:ascii="楷体" w:hAnsi="楷体" w:eastAsia="楷体" w:cs="楷体"/>
          <w:color w:val="000000"/>
        </w:rPr>
        <w:t>年江苏省各市粮食播种面积与单产</w:t>
      </w:r>
      <w:r>
        <w:rPr>
          <w:rFonts w:ascii="宋体" w:hAnsi="宋体" w:eastAsia="宋体" w:cs="宋体"/>
          <w:color w:val="000000"/>
        </w:rPr>
        <w:t>”</w:t>
      </w:r>
      <w:r>
        <w:rPr>
          <w:rFonts w:ascii="楷体" w:hAnsi="楷体" w:eastAsia="楷体" w:cs="楷体"/>
          <w:color w:val="000000"/>
        </w:rPr>
        <w:t>。据此完成下面小题。</w:t>
      </w:r>
    </w:p>
    <w:p w14:paraId="4B39BE9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drawing>
          <wp:inline distT="0" distB="0" distL="114300" distR="114300">
            <wp:extent cx="5303520" cy="3133090"/>
            <wp:effectExtent l="0" t="0" r="11430" b="1016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303520" cy="3133090"/>
                    </a:xfrm>
                    <a:prstGeom prst="rect">
                      <a:avLst/>
                    </a:prstGeom>
                  </pic:spPr>
                </pic:pic>
              </a:graphicData>
            </a:graphic>
          </wp:inline>
        </w:drawing>
      </w:r>
    </w:p>
    <w:p w14:paraId="50FDCA0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21. </w:t>
      </w:r>
      <w:r>
        <w:rPr>
          <w:rFonts w:ascii="Times New Roman" w:hAnsi="Times New Roman" w:eastAsia="Times New Roman" w:cs="Times New Roman"/>
          <w:color w:val="000000"/>
        </w:rPr>
        <w:t>2022</w:t>
      </w:r>
      <w:r>
        <w:rPr>
          <w:rFonts w:ascii="宋体" w:hAnsi="宋体" w:eastAsia="宋体" w:cs="宋体"/>
          <w:color w:val="000000"/>
        </w:rPr>
        <w:t>年江苏省粮食产量最高的是（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D22D7CB">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A. </w:t>
      </w:r>
      <w:r>
        <w:rPr>
          <w:rFonts w:ascii="宋体" w:hAnsi="宋体" w:eastAsia="宋体" w:cs="宋体"/>
          <w:color w:val="000000"/>
        </w:rPr>
        <w:t>徐州</w:t>
      </w:r>
      <w:r>
        <w:rPr>
          <w:color w:val="000000"/>
        </w:rPr>
        <w:tab/>
      </w:r>
      <w:r>
        <w:rPr>
          <w:color w:val="000000"/>
        </w:rPr>
        <w:t xml:space="preserve">B. </w:t>
      </w:r>
      <w:r>
        <w:rPr>
          <w:rFonts w:ascii="宋体" w:hAnsi="宋体" w:eastAsia="宋体" w:cs="宋体"/>
          <w:color w:val="000000"/>
        </w:rPr>
        <w:t>盐城</w:t>
      </w:r>
      <w:r>
        <w:rPr>
          <w:color w:val="000000"/>
        </w:rPr>
        <w:tab/>
      </w:r>
      <w:r>
        <w:rPr>
          <w:color w:val="000000"/>
        </w:rPr>
        <w:t xml:space="preserve">C. </w:t>
      </w:r>
      <w:r>
        <w:rPr>
          <w:rFonts w:ascii="宋体" w:hAnsi="宋体" w:eastAsia="宋体" w:cs="宋体"/>
          <w:color w:val="000000"/>
        </w:rPr>
        <w:t>泰州</w:t>
      </w:r>
      <w:r>
        <w:rPr>
          <w:color w:val="000000"/>
        </w:rPr>
        <w:tab/>
      </w:r>
      <w:r>
        <w:rPr>
          <w:color w:val="000000"/>
        </w:rPr>
        <w:t xml:space="preserve">D. </w:t>
      </w:r>
      <w:r>
        <w:rPr>
          <w:rFonts w:ascii="宋体" w:hAnsi="宋体" w:eastAsia="宋体" w:cs="宋体"/>
          <w:color w:val="000000"/>
        </w:rPr>
        <w:t>宿迁</w:t>
      </w:r>
    </w:p>
    <w:p w14:paraId="199A2E8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22. </w:t>
      </w:r>
      <w:r>
        <w:rPr>
          <w:rFonts w:ascii="宋体" w:hAnsi="宋体" w:eastAsia="宋体" w:cs="宋体"/>
          <w:color w:val="000000"/>
        </w:rPr>
        <w:t>宿迁与苏州粮食播种面积差异较大，其主要影响因素是（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27805B7B">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A. </w:t>
      </w:r>
      <w:r>
        <w:rPr>
          <w:rFonts w:ascii="宋体" w:hAnsi="宋体" w:eastAsia="宋体" w:cs="宋体"/>
          <w:color w:val="000000"/>
        </w:rPr>
        <w:t>气候条件</w:t>
      </w:r>
      <w:r>
        <w:rPr>
          <w:color w:val="000000"/>
        </w:rPr>
        <w:tab/>
      </w:r>
      <w:r>
        <w:rPr>
          <w:color w:val="000000"/>
        </w:rPr>
        <w:t xml:space="preserve">B. </w:t>
      </w:r>
      <w:r>
        <w:rPr>
          <w:rFonts w:ascii="宋体" w:hAnsi="宋体" w:eastAsia="宋体" w:cs="宋体"/>
          <w:color w:val="000000"/>
        </w:rPr>
        <w:t>地形地势</w:t>
      </w:r>
      <w:r>
        <w:rPr>
          <w:color w:val="000000"/>
        </w:rPr>
        <w:tab/>
      </w:r>
      <w:r>
        <w:rPr>
          <w:color w:val="000000"/>
        </w:rPr>
        <w:t xml:space="preserve">C. </w:t>
      </w:r>
      <w:r>
        <w:rPr>
          <w:rFonts w:ascii="宋体" w:hAnsi="宋体" w:eastAsia="宋体" w:cs="宋体"/>
          <w:color w:val="000000"/>
        </w:rPr>
        <w:t>市域面积</w:t>
      </w:r>
      <w:r>
        <w:rPr>
          <w:color w:val="000000"/>
        </w:rPr>
        <w:tab/>
      </w:r>
      <w:r>
        <w:rPr>
          <w:color w:val="000000"/>
        </w:rPr>
        <w:t xml:space="preserve">D. </w:t>
      </w:r>
      <w:r>
        <w:rPr>
          <w:rFonts w:ascii="宋体" w:hAnsi="宋体" w:eastAsia="宋体" w:cs="宋体"/>
          <w:color w:val="000000"/>
        </w:rPr>
        <w:t>城镇化率</w:t>
      </w:r>
    </w:p>
    <w:p w14:paraId="41D7B1A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23. </w:t>
      </w:r>
      <w:r>
        <w:rPr>
          <w:rFonts w:ascii="宋体" w:hAnsi="宋体" w:eastAsia="宋体" w:cs="宋体"/>
          <w:color w:val="000000"/>
        </w:rPr>
        <w:t>推测南通市粮食单产最低的主要原因是（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641BADD7">
      <w:pPr>
        <w:keepNext w:val="0"/>
        <w:keepLines w:val="0"/>
        <w:pageBreakBefore w:val="0"/>
        <w:widowControl w:val="0"/>
        <w:tabs>
          <w:tab w:val="left" w:pos="4873"/>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A. </w:t>
      </w:r>
      <w:r>
        <w:rPr>
          <w:rFonts w:ascii="宋体" w:hAnsi="宋体" w:eastAsia="宋体" w:cs="宋体"/>
          <w:color w:val="000000"/>
        </w:rPr>
        <w:t>农业生产技术水平低</w:t>
      </w:r>
      <w:r>
        <w:rPr>
          <w:color w:val="000000"/>
        </w:rPr>
        <w:tab/>
      </w:r>
      <w:r>
        <w:rPr>
          <w:color w:val="000000"/>
        </w:rPr>
        <w:t xml:space="preserve">B. </w:t>
      </w:r>
      <w:r>
        <w:rPr>
          <w:rFonts w:ascii="宋体" w:hAnsi="宋体" w:eastAsia="宋体" w:cs="宋体"/>
          <w:color w:val="000000"/>
        </w:rPr>
        <w:t>光照和热量条件不足</w:t>
      </w:r>
    </w:p>
    <w:p w14:paraId="735249D3">
      <w:pPr>
        <w:keepNext w:val="0"/>
        <w:keepLines w:val="0"/>
        <w:pageBreakBefore w:val="0"/>
        <w:widowControl w:val="0"/>
        <w:tabs>
          <w:tab w:val="left" w:pos="4873"/>
        </w:tabs>
        <w:kinsoku/>
        <w:wordWrap/>
        <w:overflowPunct/>
        <w:topLinePunct w:val="0"/>
        <w:autoSpaceDE/>
        <w:autoSpaceDN/>
        <w:bidi w:val="0"/>
        <w:adjustRightInd/>
        <w:snapToGrid/>
        <w:spacing w:line="240" w:lineRule="auto"/>
        <w:ind w:firstLine="210" w:firstLineChars="100"/>
        <w:jc w:val="left"/>
        <w:textAlignment w:val="center"/>
        <w:rPr>
          <w:color w:val="000000"/>
        </w:rPr>
      </w:pPr>
      <w:r>
        <w:rPr>
          <w:color w:val="000000"/>
        </w:rPr>
        <w:t xml:space="preserve">C. </w:t>
      </w:r>
      <w:r>
        <w:rPr>
          <w:rFonts w:ascii="宋体" w:hAnsi="宋体" w:eastAsia="宋体" w:cs="宋体"/>
          <w:color w:val="000000"/>
        </w:rPr>
        <w:t>粮食种植结构的差异</w:t>
      </w:r>
      <w:r>
        <w:rPr>
          <w:color w:val="000000"/>
        </w:rPr>
        <w:tab/>
      </w:r>
      <w:r>
        <w:rPr>
          <w:color w:val="000000"/>
        </w:rPr>
        <w:t xml:space="preserve">D. </w:t>
      </w:r>
      <w:r>
        <w:rPr>
          <w:rFonts w:ascii="宋体" w:hAnsi="宋体" w:eastAsia="宋体" w:cs="宋体"/>
          <w:color w:val="000000"/>
        </w:rPr>
        <w:t>沿海土壤盐碱化严重</w:t>
      </w:r>
    </w:p>
    <w:p w14:paraId="24682F9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b/>
          <w:color w:val="000000"/>
          <w:sz w:val="24"/>
        </w:rPr>
        <w:t>二、综合题：本大题共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小题，计</w:t>
      </w:r>
      <w:r>
        <w:rPr>
          <w:rFonts w:ascii="Times New Roman" w:hAnsi="Times New Roman" w:eastAsia="Times New Roman" w:cs="Times New Roman"/>
          <w:b/>
          <w:color w:val="000000"/>
          <w:sz w:val="24"/>
        </w:rPr>
        <w:t>54</w:t>
      </w:r>
      <w:r>
        <w:rPr>
          <w:rFonts w:ascii="宋体" w:hAnsi="宋体" w:eastAsia="宋体" w:cs="宋体"/>
          <w:b/>
          <w:color w:val="000000"/>
          <w:sz w:val="24"/>
        </w:rPr>
        <w:t>分。</w:t>
      </w:r>
    </w:p>
    <w:p w14:paraId="71ABE305">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24. </w:t>
      </w:r>
      <w:r>
        <w:rPr>
          <w:rFonts w:ascii="宋体" w:hAnsi="宋体" w:eastAsia="宋体" w:cs="宋体"/>
          <w:color w:val="000000"/>
        </w:rPr>
        <w:t>阅读图文材料，回答下列问题。</w:t>
      </w:r>
    </w:p>
    <w:p w14:paraId="3D79B596">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r>
        <w:rPr>
          <w:rFonts w:ascii="楷体" w:hAnsi="楷体" w:eastAsia="楷体" w:cs="楷体"/>
          <w:color w:val="000000"/>
        </w:rPr>
        <w:t>材料一：鲁汶流受帝汶海和澳大利亚西南沿岸之间海平面压力梯度的驱动，沿澳大利亚西岸流动，到达鲁汶角后继续沿南岸流动。研究表明，厄尔尼诺现象发生期间，信风的变化对鲁汶流的强度起调控作用。</w:t>
      </w:r>
    </w:p>
    <w:p w14:paraId="098570B0">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r>
        <w:rPr>
          <w:rFonts w:ascii="楷体" w:hAnsi="楷体" w:eastAsia="楷体" w:cs="楷体"/>
          <w:color w:val="000000"/>
        </w:rPr>
        <w:t>材料二：研究发现，鲁汶流的强弱影响热带物种</w:t>
      </w:r>
      <w:r>
        <w:rPr>
          <w:rFonts w:ascii="Times New Roman" w:hAnsi="Times New Roman" w:eastAsia="Times New Roman" w:cs="Times New Roman"/>
          <w:color w:val="000000"/>
        </w:rPr>
        <w:t>T</w:t>
      </w:r>
      <w:r>
        <w:rPr>
          <w:rFonts w:ascii="楷体" w:hAnsi="楷体" w:eastAsia="楷体" w:cs="楷体"/>
          <w:color w:val="000000"/>
        </w:rPr>
        <w:t>的相对丰度（与水温呈正相关）。在位于亚热带海区的站点中，</w:t>
      </w:r>
      <w:r>
        <w:rPr>
          <w:rFonts w:ascii="Times New Roman" w:hAnsi="Times New Roman" w:eastAsia="Times New Roman" w:cs="Times New Roman"/>
          <w:color w:val="000000"/>
        </w:rPr>
        <w:t>M</w:t>
      </w:r>
      <w:r>
        <w:rPr>
          <w:rFonts w:ascii="楷体" w:hAnsi="楷体" w:eastAsia="楷体" w:cs="楷体"/>
          <w:color w:val="000000"/>
        </w:rPr>
        <w:t>站点该物种的相对丰度变化大于</w:t>
      </w:r>
      <w:r>
        <w:rPr>
          <w:rFonts w:ascii="Times New Roman" w:hAnsi="Times New Roman" w:eastAsia="Times New Roman" w:cs="Times New Roman"/>
          <w:color w:val="000000"/>
        </w:rPr>
        <w:t>N</w:t>
      </w:r>
      <w:r>
        <w:rPr>
          <w:rFonts w:ascii="楷体" w:hAnsi="楷体" w:eastAsia="楷体" w:cs="楷体"/>
          <w:color w:val="000000"/>
        </w:rPr>
        <w:t>站点。下图为</w:t>
      </w:r>
      <w:r>
        <w:rPr>
          <w:rFonts w:ascii="宋体" w:hAnsi="宋体" w:eastAsia="宋体" w:cs="宋体"/>
          <w:color w:val="000000"/>
        </w:rPr>
        <w:t>“</w:t>
      </w:r>
      <w:r>
        <w:rPr>
          <w:rFonts w:ascii="楷体" w:hAnsi="楷体" w:eastAsia="楷体" w:cs="楷体"/>
          <w:color w:val="000000"/>
        </w:rPr>
        <w:t>鲁汶流及</w:t>
      </w:r>
      <w:r>
        <w:rPr>
          <w:rFonts w:ascii="Times New Roman" w:hAnsi="Times New Roman" w:eastAsia="Times New Roman" w:cs="Times New Roman"/>
          <w:color w:val="000000"/>
        </w:rPr>
        <w:t>M</w:t>
      </w:r>
      <w:r>
        <w:rPr>
          <w:rFonts w:ascii="楷体" w:hAnsi="楷体" w:eastAsia="楷体" w:cs="楷体"/>
          <w:color w:val="000000"/>
        </w:rPr>
        <w:t>、</w:t>
      </w:r>
      <w:r>
        <w:rPr>
          <w:rFonts w:ascii="Times New Roman" w:hAnsi="Times New Roman" w:eastAsia="Times New Roman" w:cs="Times New Roman"/>
          <w:color w:val="000000"/>
        </w:rPr>
        <w:t>N</w:t>
      </w:r>
      <w:r>
        <w:rPr>
          <w:rFonts w:ascii="楷体" w:hAnsi="楷体" w:eastAsia="楷体" w:cs="楷体"/>
          <w:color w:val="000000"/>
        </w:rPr>
        <w:t>站点分布图</w:t>
      </w:r>
      <w:r>
        <w:rPr>
          <w:rFonts w:ascii="宋体" w:hAnsi="宋体" w:eastAsia="宋体" w:cs="宋体"/>
          <w:color w:val="000000"/>
        </w:rPr>
        <w:t>”</w:t>
      </w:r>
      <w:r>
        <w:rPr>
          <w:rFonts w:ascii="楷体" w:hAnsi="楷体" w:eastAsia="楷体" w:cs="楷体"/>
          <w:color w:val="000000"/>
        </w:rPr>
        <w:t>。</w:t>
      </w:r>
    </w:p>
    <w:p w14:paraId="29D1739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drawing>
          <wp:inline distT="0" distB="0" distL="114300" distR="114300">
            <wp:extent cx="3794760" cy="2481580"/>
            <wp:effectExtent l="0" t="0" r="15240" b="1397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794760" cy="2481580"/>
                    </a:xfrm>
                    <a:prstGeom prst="rect">
                      <a:avLst/>
                    </a:prstGeom>
                  </pic:spPr>
                </pic:pic>
              </a:graphicData>
            </a:graphic>
          </wp:inline>
        </w:drawing>
      </w:r>
    </w:p>
    <w:p w14:paraId="4E8BD6D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（1）</w:t>
      </w:r>
      <w:r>
        <w:rPr>
          <w:rFonts w:ascii="宋体" w:hAnsi="宋体" w:eastAsia="宋体" w:cs="宋体"/>
          <w:color w:val="000000"/>
        </w:rPr>
        <w:t>写出影响鲁汶流流向的主要因素。</w:t>
      </w:r>
    </w:p>
    <w:p w14:paraId="0950CCF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06A2D8F5">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5EAAE80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（2）</w:t>
      </w:r>
      <w:r>
        <w:rPr>
          <w:rFonts w:ascii="宋体" w:hAnsi="宋体" w:eastAsia="宋体" w:cs="宋体"/>
          <w:color w:val="000000"/>
        </w:rPr>
        <w:t>写出鲁汶角的气候类型，并分析鲁汶流对该区域气候特征的影响。</w:t>
      </w:r>
    </w:p>
    <w:p w14:paraId="2C3E61C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7044CEA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7A2A236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1E7D2FF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176F2AB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（3）</w:t>
      </w:r>
      <w:r>
        <w:rPr>
          <w:rFonts w:ascii="宋体" w:hAnsi="宋体" w:eastAsia="宋体" w:cs="宋体"/>
          <w:color w:val="000000"/>
        </w:rPr>
        <w:t>厄尔尼诺现象发生期间，简析信风的变化对鲁汶流强度的影响。</w:t>
      </w:r>
    </w:p>
    <w:p w14:paraId="5B096D75">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7DE0674E">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52F93D0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0FF7B03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6808CB2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（4）</w:t>
      </w:r>
      <w:r>
        <w:rPr>
          <w:rFonts w:ascii="宋体" w:hAnsi="宋体" w:eastAsia="宋体" w:cs="宋体"/>
          <w:color w:val="000000"/>
        </w:rPr>
        <w:t>从水温及其变化角度，说明</w:t>
      </w:r>
      <w:r>
        <w:rPr>
          <w:rFonts w:ascii="Times New Roman" w:hAnsi="Times New Roman" w:eastAsia="Times New Roman" w:cs="Times New Roman"/>
          <w:color w:val="000000"/>
        </w:rPr>
        <w:t>M</w:t>
      </w:r>
      <w:r>
        <w:rPr>
          <w:rFonts w:ascii="宋体" w:hAnsi="宋体" w:eastAsia="宋体" w:cs="宋体"/>
          <w:color w:val="000000"/>
        </w:rPr>
        <w:t>站点热带物种</w:t>
      </w:r>
      <w:r>
        <w:rPr>
          <w:rFonts w:ascii="Times New Roman" w:hAnsi="Times New Roman" w:eastAsia="Times New Roman" w:cs="Times New Roman"/>
          <w:color w:val="000000"/>
        </w:rPr>
        <w:t>T</w:t>
      </w:r>
      <w:r>
        <w:rPr>
          <w:rFonts w:ascii="宋体" w:hAnsi="宋体" w:eastAsia="宋体" w:cs="宋体"/>
          <w:color w:val="000000"/>
        </w:rPr>
        <w:t>的相对丰度变化大于</w:t>
      </w:r>
      <w:r>
        <w:rPr>
          <w:rFonts w:ascii="Times New Roman" w:hAnsi="Times New Roman" w:eastAsia="Times New Roman" w:cs="Times New Roman"/>
          <w:color w:val="000000"/>
        </w:rPr>
        <w:t>N</w:t>
      </w:r>
      <w:r>
        <w:rPr>
          <w:rFonts w:ascii="宋体" w:hAnsi="宋体" w:eastAsia="宋体" w:cs="宋体"/>
          <w:color w:val="000000"/>
        </w:rPr>
        <w:t>站点的原因。</w:t>
      </w:r>
    </w:p>
    <w:p w14:paraId="0134D228">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768CE57E">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01CA7F9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55F773E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25. </w:t>
      </w:r>
      <w:r>
        <w:rPr>
          <w:rFonts w:ascii="宋体" w:hAnsi="宋体" w:eastAsia="宋体" w:cs="宋体"/>
          <w:color w:val="000000"/>
        </w:rPr>
        <w:t>阅读图文材料，回答下列问题</w:t>
      </w:r>
      <w:r>
        <w:rPr>
          <w:rFonts w:ascii="宋体" w:hAnsi="宋体" w:eastAsia="宋体" w:cs="宋体"/>
          <w:color w:val="000000"/>
          <w:position w:val="-12"/>
        </w:rPr>
        <w:drawing>
          <wp:inline distT="0" distB="0" distL="114300" distR="114300">
            <wp:extent cx="127000" cy="762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8"/>
                    <a:stretch>
                      <a:fillRect/>
                    </a:stretch>
                  </pic:blipFill>
                  <pic:spPr>
                    <a:xfrm>
                      <a:off x="0" y="0"/>
                      <a:ext cx="127000" cy="76200"/>
                    </a:xfrm>
                    <a:prstGeom prst="rect">
                      <a:avLst/>
                    </a:prstGeom>
                  </pic:spPr>
                </pic:pic>
              </a:graphicData>
            </a:graphic>
          </wp:inline>
        </w:drawing>
      </w:r>
    </w:p>
    <w:p w14:paraId="768A417D">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r>
        <w:rPr>
          <w:rFonts w:ascii="楷体" w:hAnsi="楷体" w:eastAsia="楷体" w:cs="楷体"/>
          <w:color w:val="000000"/>
        </w:rPr>
        <w:t>材料一：荔枝是原产于岭南地区的特色果贡。隋唐前贡在岭南、唐宋贡在四川、元明清贡在福建。荔枝喜暖，忌低温。据研究，汉唐时期我国气温普遍高于现在，自宋朝开始气温普遍降低，直至</w:t>
      </w:r>
      <w:r>
        <w:rPr>
          <w:rFonts w:ascii="Times New Roman" w:hAnsi="Times New Roman" w:eastAsia="Times New Roman" w:cs="Times New Roman"/>
          <w:color w:val="000000"/>
        </w:rPr>
        <w:t>20</w:t>
      </w:r>
      <w:r>
        <w:rPr>
          <w:rFonts w:ascii="楷体" w:hAnsi="楷体" w:eastAsia="楷体" w:cs="楷体"/>
          <w:color w:val="000000"/>
        </w:rPr>
        <w:t>世纪初才开始转暖。</w:t>
      </w:r>
    </w:p>
    <w:p w14:paraId="79D80CC2">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r>
        <w:rPr>
          <w:rFonts w:ascii="楷体" w:hAnsi="楷体" w:eastAsia="楷体" w:cs="楷体"/>
          <w:color w:val="000000"/>
        </w:rPr>
        <w:t>材料二：《太平寰宇记》首次将</w:t>
      </w:r>
      <w:r>
        <w:rPr>
          <w:rFonts w:ascii="宋体" w:hAnsi="宋体" w:eastAsia="宋体" w:cs="宋体"/>
          <w:color w:val="000000"/>
        </w:rPr>
        <w:t>“</w:t>
      </w:r>
      <w:r>
        <w:rPr>
          <w:rFonts w:ascii="楷体" w:hAnsi="楷体" w:eastAsia="楷体" w:cs="楷体"/>
          <w:color w:val="000000"/>
        </w:rPr>
        <w:t>从涪陵自万州取开州、通州宣汉县及洋州路至长安二千二百四十里</w:t>
      </w:r>
      <w:r>
        <w:rPr>
          <w:rFonts w:ascii="宋体" w:hAnsi="宋体" w:eastAsia="宋体" w:cs="宋体"/>
          <w:color w:val="000000"/>
        </w:rPr>
        <w:t>”</w:t>
      </w:r>
      <w:r>
        <w:rPr>
          <w:rFonts w:ascii="楷体" w:hAnsi="楷体" w:eastAsia="楷体" w:cs="楷体"/>
          <w:color w:val="000000"/>
        </w:rPr>
        <w:t>的路线命名为</w:t>
      </w:r>
      <w:r>
        <w:rPr>
          <w:rFonts w:ascii="宋体" w:hAnsi="宋体" w:eastAsia="宋体" w:cs="宋体"/>
          <w:color w:val="000000"/>
        </w:rPr>
        <w:t>“</w:t>
      </w:r>
      <w:r>
        <w:rPr>
          <w:rFonts w:ascii="楷体" w:hAnsi="楷体" w:eastAsia="楷体" w:cs="楷体"/>
          <w:color w:val="000000"/>
        </w:rPr>
        <w:t>荔枝道</w:t>
      </w:r>
      <w:r>
        <w:rPr>
          <w:rFonts w:ascii="宋体" w:hAnsi="宋体" w:eastAsia="宋体" w:cs="宋体"/>
          <w:color w:val="000000"/>
        </w:rPr>
        <w:t>”</w:t>
      </w:r>
      <w:r>
        <w:rPr>
          <w:rFonts w:ascii="楷体" w:hAnsi="楷体" w:eastAsia="楷体" w:cs="楷体"/>
          <w:color w:val="000000"/>
        </w:rPr>
        <w:t>（下图），</w:t>
      </w:r>
      <w:r>
        <w:rPr>
          <w:rFonts w:ascii="Times New Roman" w:hAnsi="Times New Roman" w:eastAsia="Times New Roman" w:cs="Times New Roman"/>
          <w:color w:val="000000"/>
        </w:rPr>
        <w:t>2024</w:t>
      </w:r>
      <w:r>
        <w:rPr>
          <w:rFonts w:ascii="楷体" w:hAnsi="楷体" w:eastAsia="楷体" w:cs="楷体"/>
          <w:color w:val="000000"/>
        </w:rPr>
        <w:t>年底，</w:t>
      </w:r>
      <w:r>
        <w:rPr>
          <w:rFonts w:ascii="宋体" w:hAnsi="宋体" w:eastAsia="宋体" w:cs="宋体"/>
          <w:color w:val="000000"/>
        </w:rPr>
        <w:t>“</w:t>
      </w:r>
      <w:r>
        <w:rPr>
          <w:rFonts w:ascii="楷体" w:hAnsi="楷体" w:eastAsia="楷体" w:cs="楷体"/>
          <w:color w:val="000000"/>
        </w:rPr>
        <w:t>荔枝道</w:t>
      </w:r>
      <w:r>
        <w:rPr>
          <w:rFonts w:ascii="宋体" w:hAnsi="宋体" w:eastAsia="宋体" w:cs="宋体"/>
          <w:color w:val="000000"/>
        </w:rPr>
        <w:t>”</w:t>
      </w:r>
      <w:r>
        <w:rPr>
          <w:rFonts w:ascii="楷体" w:hAnsi="楷体" w:eastAsia="楷体" w:cs="楷体"/>
          <w:color w:val="000000"/>
        </w:rPr>
        <w:t>被国家文物局列入《中国世界文化遗产预备名单》。</w:t>
      </w:r>
    </w:p>
    <w:p w14:paraId="25BA09D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drawing>
          <wp:inline distT="0" distB="0" distL="114300" distR="114300">
            <wp:extent cx="3089275" cy="4237355"/>
            <wp:effectExtent l="0" t="0" r="15875" b="1079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089275" cy="4237355"/>
                    </a:xfrm>
                    <a:prstGeom prst="rect">
                      <a:avLst/>
                    </a:prstGeom>
                  </pic:spPr>
                </pic:pic>
              </a:graphicData>
            </a:graphic>
          </wp:inline>
        </w:drawing>
      </w:r>
    </w:p>
    <w:p w14:paraId="4CEB3549">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r>
        <w:rPr>
          <w:rFonts w:ascii="楷体" w:hAnsi="楷体" w:eastAsia="楷体" w:cs="楷体"/>
          <w:color w:val="000000"/>
        </w:rPr>
        <w:t>材料三：表为关于荔枝的部分文献记载。</w:t>
      </w:r>
    </w:p>
    <w:tbl>
      <w:tblPr>
        <w:tblStyle w:val="4"/>
        <w:tblW w:w="958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76"/>
        <w:gridCol w:w="977"/>
        <w:gridCol w:w="7936"/>
      </w:tblGrid>
      <w:tr w14:paraId="04717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76"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8407F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时间</w:t>
            </w:r>
          </w:p>
        </w:tc>
        <w:tc>
          <w:tcPr>
            <w:tcW w:w="97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2339E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作者</w:t>
            </w:r>
          </w:p>
        </w:tc>
        <w:tc>
          <w:tcPr>
            <w:tcW w:w="7936"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7E1D6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文献记载</w:t>
            </w:r>
          </w:p>
        </w:tc>
      </w:tr>
      <w:tr w14:paraId="07850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76"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C6B6D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南宋</w:t>
            </w:r>
          </w:p>
        </w:tc>
        <w:tc>
          <w:tcPr>
            <w:tcW w:w="97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F3CB3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王象之</w:t>
            </w:r>
          </w:p>
        </w:tc>
        <w:tc>
          <w:tcPr>
            <w:tcW w:w="7936"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EFE88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《舆地纪胜》</w:t>
            </w:r>
            <w:r>
              <w:rPr>
                <w:rFonts w:ascii="宋体" w:hAnsi="宋体" w:eastAsia="宋体" w:cs="宋体"/>
                <w:color w:val="000000"/>
              </w:rPr>
              <w:t>“</w:t>
            </w:r>
            <w:r>
              <w:rPr>
                <w:rFonts w:ascii="楷体" w:hAnsi="楷体" w:eastAsia="楷体" w:cs="楷体"/>
                <w:color w:val="000000"/>
              </w:rPr>
              <w:t>妃子园，在涪州（今涪陵）之西，去城十五里，百余株，棵肥肉肥，唐杨妃所喜，一骑红尘妃子笑，无人知是荔枝来，谓此。</w:t>
            </w:r>
            <w:r>
              <w:rPr>
                <w:rFonts w:ascii="宋体" w:hAnsi="宋体" w:eastAsia="宋体" w:cs="宋体"/>
                <w:color w:val="000000"/>
              </w:rPr>
              <w:t>”</w:t>
            </w:r>
          </w:p>
        </w:tc>
      </w:tr>
      <w:tr w14:paraId="17332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76"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2B949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北宋</w:t>
            </w:r>
          </w:p>
        </w:tc>
        <w:tc>
          <w:tcPr>
            <w:tcW w:w="97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36F96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蔡襄</w:t>
            </w:r>
          </w:p>
        </w:tc>
        <w:tc>
          <w:tcPr>
            <w:tcW w:w="7936"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CD1DF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《荔枝谱》记载闽荔的行销范围</w:t>
            </w:r>
            <w:r>
              <w:rPr>
                <w:rFonts w:ascii="宋体" w:hAnsi="宋体" w:eastAsia="宋体" w:cs="宋体"/>
                <w:color w:val="000000"/>
              </w:rPr>
              <w:t>“</w:t>
            </w:r>
            <w:r>
              <w:rPr>
                <w:rFonts w:ascii="楷体" w:hAnsi="楷体" w:eastAsia="楷体" w:cs="楷体"/>
                <w:color w:val="000000"/>
              </w:rPr>
              <w:t>外至北漠、西夏，其东南舟行新罗、日本、琉求、大食之属</w:t>
            </w:r>
            <w:r>
              <w:rPr>
                <w:rFonts w:ascii="宋体" w:hAnsi="宋体" w:eastAsia="宋体" w:cs="宋体"/>
                <w:color w:val="000000"/>
              </w:rPr>
              <w:t>”</w:t>
            </w:r>
            <w:r>
              <w:rPr>
                <w:rFonts w:ascii="楷体" w:hAnsi="楷体" w:eastAsia="楷体" w:cs="楷体"/>
                <w:color w:val="000000"/>
              </w:rPr>
              <w:t>，涵盖了整个东亚地区。</w:t>
            </w:r>
          </w:p>
        </w:tc>
      </w:tr>
    </w:tbl>
    <w:p w14:paraId="4A3D1DD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523FBD5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（1）</w:t>
      </w:r>
      <w:r>
        <w:rPr>
          <w:rFonts w:ascii="宋体" w:hAnsi="宋体" w:eastAsia="宋体" w:cs="宋体"/>
          <w:color w:val="000000"/>
        </w:rPr>
        <w:t>从市场角度，分别简述目前岭南和四川荔枝的比较优势。</w:t>
      </w:r>
    </w:p>
    <w:p w14:paraId="395A17B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71869E2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5191C6A5">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03E3EBB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（2）</w:t>
      </w:r>
      <w:r>
        <w:rPr>
          <w:rFonts w:ascii="宋体" w:hAnsi="宋体" w:eastAsia="宋体" w:cs="宋体"/>
          <w:color w:val="000000"/>
        </w:rPr>
        <w:t>简述唐代“荔枝道”选择涪陵作为南端起点的主要地理条件。</w:t>
      </w:r>
    </w:p>
    <w:p w14:paraId="7E68CFB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1AD8A5D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58D286D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043D16F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（3）</w:t>
      </w:r>
      <w:r>
        <w:rPr>
          <w:rFonts w:ascii="宋体" w:hAnsi="宋体" w:eastAsia="宋体" w:cs="宋体"/>
          <w:color w:val="000000"/>
        </w:rPr>
        <w:t>依据我国历史时期荔枝种植地域格局变化，分析其主要原因。</w:t>
      </w:r>
    </w:p>
    <w:p w14:paraId="71F8B43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宋元时期四川荔枝种植萎缩：</w:t>
      </w:r>
      <w:r>
        <w:rPr>
          <w:color w:val="000000"/>
          <w:u w:val="single"/>
        </w:rPr>
        <w:t>____</w:t>
      </w:r>
      <w:r>
        <w:rPr>
          <w:rFonts w:hint="eastAsia"/>
          <w:color w:val="000000"/>
          <w:u w:val="single"/>
          <w:lang w:val="en-US" w:eastAsia="zh-CN"/>
        </w:rPr>
        <w:t xml:space="preserve">                                                          </w:t>
      </w:r>
      <w:r>
        <w:rPr>
          <w:rFonts w:hint="eastAsia"/>
          <w:color w:val="000000"/>
          <w:lang w:val="en-US" w:eastAsia="zh-CN"/>
        </w:rPr>
        <w:t xml:space="preserve"> </w:t>
      </w:r>
      <w:r>
        <w:rPr>
          <w:rFonts w:ascii="宋体" w:hAnsi="宋体" w:eastAsia="宋体" w:cs="宋体"/>
          <w:color w:val="000000"/>
        </w:rPr>
        <w:t>；</w:t>
      </w:r>
    </w:p>
    <w:p w14:paraId="4DA6EFB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ascii="宋体" w:hAnsi="宋体" w:eastAsia="宋体" w:cs="宋体"/>
          <w:color w:val="000000"/>
        </w:rPr>
      </w:pPr>
    </w:p>
    <w:p w14:paraId="6C90D53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宋代福建荔枝短时间内崛起：</w:t>
      </w:r>
      <w:r>
        <w:rPr>
          <w:color w:val="000000"/>
          <w:u w:val="single"/>
        </w:rPr>
        <w:t>___</w:t>
      </w:r>
      <w:r>
        <w:rPr>
          <w:rFonts w:hint="eastAsia"/>
          <w:color w:val="000000"/>
          <w:u w:val="single"/>
          <w:lang w:val="en-US" w:eastAsia="zh-CN"/>
        </w:rPr>
        <w:t xml:space="preserve">  </w:t>
      </w:r>
      <w:r>
        <w:rPr>
          <w:color w:val="000000"/>
          <w:u w:val="single"/>
        </w:rPr>
        <w:t>_</w:t>
      </w:r>
      <w:r>
        <w:rPr>
          <w:rFonts w:hint="eastAsia"/>
          <w:color w:val="000000"/>
          <w:u w:val="single"/>
          <w:lang w:val="en-US" w:eastAsia="zh-CN"/>
        </w:rPr>
        <w:t xml:space="preserve">                                                         </w:t>
      </w:r>
      <w:r>
        <w:rPr>
          <w:rFonts w:ascii="宋体" w:hAnsi="宋体" w:eastAsia="宋体" w:cs="宋体"/>
          <w:color w:val="000000"/>
        </w:rPr>
        <w:t>。</w:t>
      </w:r>
    </w:p>
    <w:p w14:paraId="7809AABD">
      <w:pPr>
        <w:keepNext w:val="0"/>
        <w:keepLines w:val="0"/>
        <w:pageBreakBefore w:val="0"/>
        <w:widowControl w:val="0"/>
        <w:numPr>
          <w:ilvl w:val="0"/>
          <w:numId w:val="1"/>
        </w:numPr>
        <w:kinsoku/>
        <w:wordWrap/>
        <w:overflowPunct/>
        <w:topLinePunct w:val="0"/>
        <w:autoSpaceDE/>
        <w:autoSpaceDN/>
        <w:bidi w:val="0"/>
        <w:adjustRightInd/>
        <w:snapToGrid/>
        <w:spacing w:line="240" w:lineRule="auto"/>
        <w:jc w:val="left"/>
        <w:textAlignment w:val="center"/>
        <w:rPr>
          <w:rFonts w:ascii="宋体" w:hAnsi="宋体" w:eastAsia="宋体" w:cs="宋体"/>
          <w:color w:val="000000"/>
        </w:rPr>
      </w:pPr>
      <w:r>
        <w:rPr>
          <w:rFonts w:ascii="宋体" w:hAnsi="宋体" w:eastAsia="宋体" w:cs="宋体"/>
          <w:color w:val="000000"/>
        </w:rPr>
        <w:t>为协调“荔枝道”文化遗产整体开发与保护，指出沿线省市可采取的主要措施。</w:t>
      </w:r>
    </w:p>
    <w:p w14:paraId="2D349BF4">
      <w:pPr>
        <w:keepNext w:val="0"/>
        <w:keepLines w:val="0"/>
        <w:pageBreakBefore w:val="0"/>
        <w:widowControl w:val="0"/>
        <w:numPr>
          <w:numId w:val="0"/>
        </w:numPr>
        <w:kinsoku/>
        <w:wordWrap/>
        <w:overflowPunct/>
        <w:topLinePunct w:val="0"/>
        <w:autoSpaceDE/>
        <w:autoSpaceDN/>
        <w:bidi w:val="0"/>
        <w:adjustRightInd/>
        <w:snapToGrid/>
        <w:spacing w:line="240" w:lineRule="auto"/>
        <w:jc w:val="left"/>
        <w:textAlignment w:val="center"/>
        <w:rPr>
          <w:color w:val="000000"/>
        </w:rPr>
      </w:pPr>
    </w:p>
    <w:p w14:paraId="14B64D7A">
      <w:pPr>
        <w:keepNext w:val="0"/>
        <w:keepLines w:val="0"/>
        <w:pageBreakBefore w:val="0"/>
        <w:widowControl w:val="0"/>
        <w:numPr>
          <w:numId w:val="0"/>
        </w:numPr>
        <w:kinsoku/>
        <w:wordWrap/>
        <w:overflowPunct/>
        <w:topLinePunct w:val="0"/>
        <w:autoSpaceDE/>
        <w:autoSpaceDN/>
        <w:bidi w:val="0"/>
        <w:adjustRightInd/>
        <w:snapToGrid/>
        <w:spacing w:line="240" w:lineRule="auto"/>
        <w:jc w:val="left"/>
        <w:textAlignment w:val="center"/>
        <w:rPr>
          <w:color w:val="000000"/>
        </w:rPr>
      </w:pPr>
    </w:p>
    <w:p w14:paraId="04E01CA3">
      <w:pPr>
        <w:keepNext w:val="0"/>
        <w:keepLines w:val="0"/>
        <w:pageBreakBefore w:val="0"/>
        <w:widowControl w:val="0"/>
        <w:numPr>
          <w:numId w:val="0"/>
        </w:numPr>
        <w:kinsoku/>
        <w:wordWrap/>
        <w:overflowPunct/>
        <w:topLinePunct w:val="0"/>
        <w:autoSpaceDE/>
        <w:autoSpaceDN/>
        <w:bidi w:val="0"/>
        <w:adjustRightInd/>
        <w:snapToGrid/>
        <w:spacing w:line="240" w:lineRule="auto"/>
        <w:jc w:val="left"/>
        <w:textAlignment w:val="center"/>
        <w:rPr>
          <w:color w:val="000000"/>
        </w:rPr>
      </w:pPr>
      <w:bookmarkStart w:id="0" w:name="_GoBack"/>
      <w:bookmarkEnd w:id="0"/>
      <w:r>
        <w:rPr>
          <w:color w:val="000000"/>
        </w:rPr>
        <w:t xml:space="preserve">26. </w:t>
      </w:r>
      <w:r>
        <w:rPr>
          <w:rFonts w:ascii="宋体" w:hAnsi="宋体" w:eastAsia="宋体" w:cs="宋体"/>
          <w:color w:val="000000"/>
        </w:rPr>
        <w:t>阅读图文材料，回答下列问题。</w:t>
      </w:r>
    </w:p>
    <w:p w14:paraId="5A2686F8">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r>
        <w:rPr>
          <w:rFonts w:ascii="楷体" w:hAnsi="楷体" w:eastAsia="楷体" w:cs="楷体"/>
          <w:color w:val="000000"/>
        </w:rPr>
        <w:t>材料一：动力电池是新能源汽车的核心部件，富含锂、镍、钴等金属物质，当其容量下降至</w:t>
      </w:r>
      <w:r>
        <w:rPr>
          <w:rFonts w:ascii="Times New Roman" w:hAnsi="Times New Roman" w:eastAsia="Times New Roman" w:cs="Times New Roman"/>
          <w:color w:val="000000"/>
        </w:rPr>
        <w:t>80%</w:t>
      </w:r>
      <w:r>
        <w:rPr>
          <w:rFonts w:ascii="楷体" w:hAnsi="楷体" w:eastAsia="楷体" w:cs="楷体"/>
          <w:color w:val="000000"/>
        </w:rPr>
        <w:t>时即须退役。动力电池回收利用程度对环境保护、资源供给影响较大。相关部门陆续出台多项回收利用政策，补贴梯级利用的企业，并公布该领域回收的白名单企业。下图为我国</w:t>
      </w:r>
      <w:r>
        <w:rPr>
          <w:rFonts w:ascii="宋体" w:hAnsi="宋体" w:eastAsia="宋体" w:cs="宋体"/>
          <w:color w:val="000000"/>
        </w:rPr>
        <w:t>“</w:t>
      </w:r>
      <w:r>
        <w:rPr>
          <w:rFonts w:ascii="楷体" w:hAnsi="楷体" w:eastAsia="楷体" w:cs="楷体"/>
          <w:color w:val="000000"/>
        </w:rPr>
        <w:t>退役动力电池回收白名单企业数量的空间分布</w:t>
      </w:r>
      <w:r>
        <w:rPr>
          <w:rFonts w:ascii="宋体" w:hAnsi="宋体" w:eastAsia="宋体" w:cs="宋体"/>
          <w:color w:val="000000"/>
        </w:rPr>
        <w:t>”</w:t>
      </w:r>
      <w:r>
        <w:rPr>
          <w:rFonts w:ascii="楷体" w:hAnsi="楷体" w:eastAsia="楷体" w:cs="楷体"/>
          <w:color w:val="000000"/>
        </w:rPr>
        <w:t>。</w:t>
      </w:r>
    </w:p>
    <w:p w14:paraId="34191BE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drawing>
          <wp:inline distT="0" distB="0" distL="114300" distR="114300">
            <wp:extent cx="4021455" cy="3194685"/>
            <wp:effectExtent l="0" t="0" r="17145" b="571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021455" cy="3194685"/>
                    </a:xfrm>
                    <a:prstGeom prst="rect">
                      <a:avLst/>
                    </a:prstGeom>
                  </pic:spPr>
                </pic:pic>
              </a:graphicData>
            </a:graphic>
          </wp:inline>
        </w:drawing>
      </w:r>
    </w:p>
    <w:p w14:paraId="43BBC786">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r>
        <w:rPr>
          <w:rFonts w:ascii="楷体" w:hAnsi="楷体" w:eastAsia="楷体" w:cs="楷体"/>
          <w:color w:val="000000"/>
        </w:rPr>
        <w:t>材料二：下表为我国退役动力电池主要回收利用方式对比情况。</w:t>
      </w:r>
    </w:p>
    <w:tbl>
      <w:tblPr>
        <w:tblStyle w:val="4"/>
        <w:tblW w:w="958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25"/>
        <w:gridCol w:w="1968"/>
        <w:gridCol w:w="1568"/>
        <w:gridCol w:w="4428"/>
      </w:tblGrid>
      <w:tr w14:paraId="5F8F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C92BD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回收利用方式</w:t>
            </w:r>
          </w:p>
        </w:tc>
        <w:tc>
          <w:tcPr>
            <w:tcW w:w="3536"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95342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退役动力电池分类</w:t>
            </w:r>
          </w:p>
        </w:tc>
        <w:tc>
          <w:tcPr>
            <w:tcW w:w="442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49413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应用方向</w:t>
            </w:r>
          </w:p>
        </w:tc>
      </w:tr>
      <w:tr w14:paraId="08A3A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2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AE1955">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梯级利用</w:t>
            </w:r>
          </w:p>
        </w:tc>
        <w:tc>
          <w:tcPr>
            <w:tcW w:w="1968"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C4A6D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电池状态</w:t>
            </w:r>
          </w:p>
          <w:p w14:paraId="7F594E3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（实际容量</w:t>
            </w:r>
            <w:r>
              <w:rPr>
                <w:rFonts w:ascii="Times New Roman" w:hAnsi="Times New Roman" w:eastAsia="Times New Roman" w:cs="Times New Roman"/>
                <w:color w:val="000000"/>
              </w:rPr>
              <w:t>/</w:t>
            </w:r>
            <w:r>
              <w:rPr>
                <w:rFonts w:ascii="楷体" w:hAnsi="楷体" w:eastAsia="楷体" w:cs="楷体"/>
                <w:color w:val="000000"/>
              </w:rPr>
              <w:t>出厂容量）</w:t>
            </w:r>
          </w:p>
        </w:tc>
        <w:tc>
          <w:tcPr>
            <w:tcW w:w="156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6CF99E">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Times New Roman" w:hAnsi="Times New Roman" w:eastAsia="Times New Roman" w:cs="Times New Roman"/>
                <w:color w:val="000000"/>
              </w:rPr>
              <w:t>60%-80%</w:t>
            </w:r>
          </w:p>
        </w:tc>
        <w:tc>
          <w:tcPr>
            <w:tcW w:w="442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89CB6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大型储能电站、两轮电动车等</w:t>
            </w:r>
          </w:p>
        </w:tc>
      </w:tr>
      <w:tr w14:paraId="0E9B0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25" w:type="dxa"/>
            <w:vMerge w:val="continue"/>
            <w:tcBorders>
              <w:top w:val="single" w:color="000000" w:sz="6" w:space="0"/>
              <w:left w:val="single" w:color="000000" w:sz="6" w:space="0"/>
              <w:bottom w:val="single" w:color="000000" w:sz="6" w:space="0"/>
              <w:right w:val="single" w:color="000000" w:sz="6" w:space="0"/>
            </w:tcBorders>
          </w:tcPr>
          <w:p w14:paraId="692D9C3D">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p>
        </w:tc>
        <w:tc>
          <w:tcPr>
            <w:tcW w:w="1968" w:type="dxa"/>
            <w:vMerge w:val="continue"/>
            <w:tcBorders>
              <w:top w:val="single" w:color="000000" w:sz="6" w:space="0"/>
              <w:left w:val="single" w:color="000000" w:sz="6" w:space="0"/>
              <w:bottom w:val="single" w:color="000000" w:sz="6" w:space="0"/>
              <w:right w:val="single" w:color="000000" w:sz="6" w:space="0"/>
            </w:tcBorders>
          </w:tcPr>
          <w:p w14:paraId="00793AEE">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p>
        </w:tc>
        <w:tc>
          <w:tcPr>
            <w:tcW w:w="156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DEEAEE">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Times New Roman" w:hAnsi="Times New Roman" w:eastAsia="Times New Roman" w:cs="Times New Roman"/>
                <w:color w:val="000000"/>
              </w:rPr>
              <w:t>20%-60%</w:t>
            </w:r>
          </w:p>
        </w:tc>
        <w:tc>
          <w:tcPr>
            <w:tcW w:w="442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11CD4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小型储能电站、通信基站等</w:t>
            </w:r>
          </w:p>
        </w:tc>
      </w:tr>
      <w:tr w14:paraId="71026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25" w:type="dxa"/>
            <w:vMerge w:val="continue"/>
            <w:tcBorders>
              <w:top w:val="single" w:color="000000" w:sz="6" w:space="0"/>
              <w:left w:val="single" w:color="000000" w:sz="6" w:space="0"/>
              <w:bottom w:val="single" w:color="000000" w:sz="6" w:space="0"/>
              <w:right w:val="single" w:color="000000" w:sz="6" w:space="0"/>
            </w:tcBorders>
          </w:tcPr>
          <w:p w14:paraId="1065CD90">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p>
        </w:tc>
        <w:tc>
          <w:tcPr>
            <w:tcW w:w="1968" w:type="dxa"/>
            <w:vMerge w:val="continue"/>
            <w:tcBorders>
              <w:top w:val="single" w:color="000000" w:sz="6" w:space="0"/>
              <w:left w:val="single" w:color="000000" w:sz="6" w:space="0"/>
              <w:bottom w:val="single" w:color="000000" w:sz="6" w:space="0"/>
              <w:right w:val="single" w:color="000000" w:sz="6" w:space="0"/>
            </w:tcBorders>
          </w:tcPr>
          <w:p w14:paraId="74C3552C">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center"/>
              <w:rPr>
                <w:color w:val="000000"/>
              </w:rPr>
            </w:pPr>
          </w:p>
        </w:tc>
        <w:tc>
          <w:tcPr>
            <w:tcW w:w="156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546E3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低于</w:t>
            </w:r>
            <w:r>
              <w:rPr>
                <w:rFonts w:ascii="Times New Roman" w:hAnsi="Times New Roman" w:eastAsia="Times New Roman" w:cs="Times New Roman"/>
                <w:color w:val="000000"/>
              </w:rPr>
              <w:t>20%</w:t>
            </w:r>
          </w:p>
        </w:tc>
        <w:tc>
          <w:tcPr>
            <w:tcW w:w="442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48EE8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报废、拆解，回收镍、锂、钴等金属资源</w:t>
            </w:r>
          </w:p>
        </w:tc>
      </w:tr>
      <w:tr w14:paraId="1C450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3005F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传统资源再生</w:t>
            </w:r>
          </w:p>
        </w:tc>
        <w:tc>
          <w:tcPr>
            <w:tcW w:w="3536"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9149D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电池不分类</w:t>
            </w:r>
          </w:p>
        </w:tc>
        <w:tc>
          <w:tcPr>
            <w:tcW w:w="442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5D5EC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楷体" w:hAnsi="楷体" w:eastAsia="楷体" w:cs="楷体"/>
                <w:color w:val="000000"/>
              </w:rPr>
              <w:t>报废、拆解，回收镍、锂、钴等金属资源</w:t>
            </w:r>
          </w:p>
        </w:tc>
      </w:tr>
    </w:tbl>
    <w:p w14:paraId="767DA6F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37FC4BA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（1）</w:t>
      </w:r>
      <w:r>
        <w:rPr>
          <w:rFonts w:ascii="宋体" w:hAnsi="宋体" w:eastAsia="宋体" w:cs="宋体"/>
          <w:color w:val="000000"/>
        </w:rPr>
        <w:t>描述我国退役动力电池回收白名单企业的空间分布特征。</w:t>
      </w:r>
    </w:p>
    <w:p w14:paraId="22EEB71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4FE9D92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16AC55E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7A24047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043E5C1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（2）</w:t>
      </w:r>
      <w:r>
        <w:rPr>
          <w:rFonts w:ascii="宋体" w:hAnsi="宋体" w:eastAsia="宋体" w:cs="宋体"/>
          <w:color w:val="000000"/>
        </w:rPr>
        <w:t>与“传统资源再生”模式相比，简述退役动力电池能够实现“梯级利用”的条件。</w:t>
      </w:r>
    </w:p>
    <w:p w14:paraId="557CFEA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62359FE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3AA12B5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1252781E">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p>
    <w:p w14:paraId="782BCEE1">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color w:val="000000"/>
        </w:rPr>
        <w:t>（3）</w:t>
      </w:r>
      <w:r>
        <w:rPr>
          <w:rFonts w:ascii="宋体" w:hAnsi="宋体" w:eastAsia="宋体" w:cs="宋体"/>
          <w:color w:val="000000"/>
        </w:rPr>
        <w:t>从资源安全角度，分析国家鼓励动力电池回收的意义。</w:t>
      </w:r>
    </w:p>
    <w:sectPr>
      <w:headerReference r:id="rId3" w:type="default"/>
      <w:footerReference r:id="rId4" w:type="default"/>
      <w:pgSz w:w="11906" w:h="16838"/>
      <w:pgMar w:top="1134" w:right="1134" w:bottom="1134" w:left="1134"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964357">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7B38151D">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8</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i29ifcAgAAJAYAAA4AAABkcnMvZTJvRG9jLnhtbK1UzW7UMBC+I/EO&#10;lu9pkm26zUbNVttNg5AqWqkgzl7H2Vg4tmV7fwriCm/AiQt3nqvPwTjZ7LYFoUqwh+zYM56Z75uf&#10;s/NtK9CaGcuVzHF8FGHEJFUVl8scv3tbBilG1hFZEaEky/Eds/h8+vLF2UZnbKQaJSpmEDiRNtvo&#10;HDfO6SwMLW1YS+yR0kyCslamJQ6OZhlWhmzAeyvCURSNw40ylTaKMmvhtuiVeOfRPMehqmtOWaHo&#10;qmXS9V4NE8QBJNtwbfG0y7auGXXXdW2ZQyLHgNR1XwgC8sJ/w+kZyZaG6IbTXQrkOSk8wdQSLiHo&#10;3lVBHEErw39z1XJqlFW1O6KqDXsgHSOAIo6ecHPbEM06LEC11XvS7f9zS9+sbwziFXQCRpK0UPD7&#10;b1/vv/+8//EFxZ6ejbYZWN1qsHPbC7X1prt7C5ce9bY2rf8HPAj0QO7dnly2dYj6R+koTSNQUdAN&#10;B/ATHp5rY90rplrkhRwbqF5HKllfWdebDiY+mlQlFwLuSSYk2uR4fHwSdQ/2GnAupDeALMDHTuor&#10;82kSTS7TyzQJktH4Mkiioghm5TwJxmV8elIcF/N5EX/2/uIka3hVMenjDV0SJ8+rwq5T+vru+8Qq&#10;wSvvzqdkzXIxFwatCXRp2f08w5D8A7PwcRqdGlA9gRSPkuhiNAnKcXoaJGVyEkxOozSI4snFZBwl&#10;k6QoH0O64pL9O6RH7D9ImmS+YHtsC0Hoh79C8+kcoAEDQ+FC34d9v3nJbRdboMiLC1XdQW8a1Q+3&#10;1bTkEPSKWHdDDEwz9BzsO3cNn1oo6BO1kzBqlPn4p3tvD+UFLUYb2A45lrAMMRKvJQwfOHSDYAZh&#10;MQhy1c4VFBIGCnLpRHhgnBjE2qj2PSzBmY8BKiIpRMqxG8S56zcULFHKZrPOaKUNXzb9A1gdmrgr&#10;eaupD9O1kJ6tHMxDNyYHVoBKf4Dl0ZG6W3R+Oz08d1aH5T7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BItvYn3AIAACQGAAAOAAAAAAAAAAEAIAAAAB8BAABkcnMvZTJvRG9jLnhtbFBLBQYA&#10;AAAABgAGAFkBAABtBgAAAAA=&#10;">
              <v:fill on="f" focussize="0,0"/>
              <v:stroke on="f" weight="0.5pt"/>
              <v:imagedata o:title=""/>
              <o:lock v:ext="edit" aspectratio="f"/>
              <v:textbox inset="0mm,0mm,0mm,0mm" style="mso-fit-shape-to-text:t;">
                <w:txbxContent>
                  <w:p w14:paraId="7B38151D">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8</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A2854E">
    <w:pPr>
      <w:pStyle w:val="3"/>
      <w:pBdr>
        <w:bottom w:val="single" w:color="auto" w:sz="4" w:space="0"/>
      </w:pBdr>
      <w:jc w:val="both"/>
      <w:rPr>
        <w:rFonts w:hint="default" w:eastAsiaTheme="minorEastAsia"/>
        <w:lang w:val="en-US" w:eastAsia="zh-CN"/>
      </w:rPr>
    </w:pPr>
    <w:r>
      <w:rPr>
        <w:rFonts w:hint="eastAsia"/>
        <w:lang w:val="en-US" w:eastAsia="zh-CN"/>
      </w:rPr>
      <w:t>2024级高二地理期中复习卷三</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999E973"/>
    <w:multiLevelType w:val="singleLevel"/>
    <w:tmpl w:val="7999E973"/>
    <w:lvl w:ilvl="0" w:tentative="0">
      <w:start w:val="4"/>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jViMGMyODcyODg1ZGNiOTVjODJjMWFkMTE4ZWYxZDgifQ=="/>
  </w:docVars>
  <w:rsids>
    <w:rsidRoot w:val="00005008"/>
    <w:rsid w:val="00005008"/>
    <w:rsid w:val="00021862"/>
    <w:rsid w:val="00044669"/>
    <w:rsid w:val="00064AF5"/>
    <w:rsid w:val="0007634F"/>
    <w:rsid w:val="000E1204"/>
    <w:rsid w:val="001F0B43"/>
    <w:rsid w:val="002331BE"/>
    <w:rsid w:val="002A37A9"/>
    <w:rsid w:val="00342773"/>
    <w:rsid w:val="003705F2"/>
    <w:rsid w:val="0046247C"/>
    <w:rsid w:val="005B7857"/>
    <w:rsid w:val="00601E5D"/>
    <w:rsid w:val="00633CD5"/>
    <w:rsid w:val="00662DB8"/>
    <w:rsid w:val="007210F6"/>
    <w:rsid w:val="007722F6"/>
    <w:rsid w:val="007D4B71"/>
    <w:rsid w:val="007E7DA5"/>
    <w:rsid w:val="00836D37"/>
    <w:rsid w:val="0089765F"/>
    <w:rsid w:val="008A6185"/>
    <w:rsid w:val="00936835"/>
    <w:rsid w:val="009C170C"/>
    <w:rsid w:val="009C2493"/>
    <w:rsid w:val="009C3B0D"/>
    <w:rsid w:val="00BF71FF"/>
    <w:rsid w:val="00C35DAC"/>
    <w:rsid w:val="00C45F74"/>
    <w:rsid w:val="00CA0C2B"/>
    <w:rsid w:val="00CE459C"/>
    <w:rsid w:val="00DB32CB"/>
    <w:rsid w:val="00F54D8F"/>
    <w:rsid w:val="00F8091C"/>
    <w:rsid w:val="2294497C"/>
    <w:rsid w:val="2638071A"/>
    <w:rsid w:val="301A365B"/>
    <w:rsid w:val="36030639"/>
    <w:rsid w:val="490C349D"/>
    <w:rsid w:val="77D8541D"/>
    <w:rsid w:val="7CF54754"/>
    <w:rsid w:val="7D7242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7"/>
    <w:autoRedefine/>
    <w:unhideWhenUsed/>
    <w:qFormat/>
    <w:uiPriority w:val="99"/>
    <w:pPr>
      <w:tabs>
        <w:tab w:val="center" w:pos="4153"/>
        <w:tab w:val="right" w:pos="8306"/>
      </w:tabs>
      <w:snapToGrid w:val="0"/>
      <w:spacing w:before="240"/>
      <w:jc w:val="center"/>
    </w:pPr>
    <w:rPr>
      <w:rFonts w:ascii="宋体" w:hAnsi="宋体" w:cstheme="minorBidi"/>
      <w:sz w:val="18"/>
      <w:szCs w:val="18"/>
    </w:rPr>
  </w:style>
  <w:style w:type="paragraph" w:styleId="3">
    <w:name w:val="header"/>
    <w:basedOn w:val="1"/>
    <w:link w:val="6"/>
    <w:autoRedefine/>
    <w:unhideWhenUsed/>
    <w:qFormat/>
    <w:uiPriority w:val="99"/>
    <w:pPr>
      <w:tabs>
        <w:tab w:val="center" w:pos="4153"/>
        <w:tab w:val="right" w:pos="8306"/>
      </w:tabs>
      <w:snapToGrid w:val="0"/>
      <w:jc w:val="center"/>
    </w:pPr>
    <w:rPr>
      <w:rFonts w:asciiTheme="minorHAnsi" w:hAnsiTheme="minorHAnsi" w:eastAsiaTheme="minorEastAsia" w:cstheme="minorBidi"/>
      <w:sz w:val="18"/>
      <w:szCs w:val="18"/>
    </w:rPr>
  </w:style>
  <w:style w:type="character" w:customStyle="1" w:styleId="6">
    <w:name w:val="页眉 字符"/>
    <w:basedOn w:val="5"/>
    <w:link w:val="3"/>
    <w:autoRedefine/>
    <w:qFormat/>
    <w:uiPriority w:val="99"/>
    <w:rPr>
      <w:sz w:val="18"/>
      <w:szCs w:val="18"/>
    </w:rPr>
  </w:style>
  <w:style w:type="character" w:customStyle="1" w:styleId="7">
    <w:name w:val="页脚 字符"/>
    <w:basedOn w:val="5"/>
    <w:link w:val="2"/>
    <w:autoRedefine/>
    <w:qFormat/>
    <w:uiPriority w:val="99"/>
    <w:rPr>
      <w:rFonts w:ascii="宋体" w:hAnsi="宋体" w:eastAsia="宋体"/>
      <w:kern w:val="2"/>
      <w:sz w:val="18"/>
      <w:szCs w:val="18"/>
    </w:rPr>
  </w:style>
  <w:style w:type="paragraph" w:styleId="8">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wmf"/><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Pages>
  <Words>3200</Words>
  <Characters>3341</Characters>
  <Lines>105</Lines>
  <Paragraphs>117</Paragraphs>
  <TotalTime>15</TotalTime>
  <ScaleCrop>false</ScaleCrop>
  <LinksUpToDate>false</LinksUpToDate>
  <CharactersWithSpaces>3829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2024-03-24T08:59:00Z</dcterms:created>
  <dc:creator>议惠 桑</dc:creator>
  <cp:lastModifiedBy>冬雪之缘</cp:lastModifiedBy>
  <cp:lastPrinted>2024-04-10T03:09:00Z</cp:lastPrinted>
  <dcterms:modified xsi:type="dcterms:W3CDTF">2026-04-16T13:57:48Z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9E6EAFA53BA344569FFB2D12CC6B335F_12</vt:lpwstr>
  </property>
  <property fmtid="{D5CDD505-2E9C-101B-9397-08002B2CF9AE}" pid="4" name="KSOTemplateDocerSaveRecord">
    <vt:lpwstr>eyJoZGlkIjoiMjY5ZjU3MWE2N2IyZDg2MDkwZDg4NjhlOGNjNjRmMmQiLCJ1c2VySWQiOiI1NDk5NzU3MzcifQ==</vt:lpwstr>
  </property>
</Properties>
</file>