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EC7C" w14:textId="77777777" w:rsidR="00D178E6" w:rsidRPr="00D178E6" w:rsidRDefault="00D178E6" w:rsidP="00D178E6">
      <w:pPr>
        <w:spacing w:line="360" w:lineRule="auto"/>
        <w:jc w:val="center"/>
        <w:rPr>
          <w:b/>
          <w:bCs/>
          <w:sz w:val="32"/>
          <w:szCs w:val="32"/>
        </w:rPr>
      </w:pPr>
      <w:r w:rsidRPr="00D178E6">
        <w:rPr>
          <w:b/>
          <w:bCs/>
          <w:sz w:val="32"/>
          <w:szCs w:val="32"/>
        </w:rPr>
        <w:t>2025--2026学年度第二学期高二历史</w:t>
      </w:r>
      <w:proofErr w:type="gramStart"/>
      <w:r w:rsidRPr="00D178E6">
        <w:rPr>
          <w:b/>
          <w:bCs/>
          <w:sz w:val="32"/>
          <w:szCs w:val="32"/>
        </w:rPr>
        <w:t>备课组</w:t>
      </w:r>
      <w:proofErr w:type="gramEnd"/>
      <w:r w:rsidRPr="00D178E6">
        <w:rPr>
          <w:b/>
          <w:bCs/>
          <w:sz w:val="32"/>
          <w:szCs w:val="32"/>
        </w:rPr>
        <w:t>工作计划</w:t>
      </w:r>
    </w:p>
    <w:p w14:paraId="208E09EB" w14:textId="77777777" w:rsidR="00D178E6" w:rsidRPr="00D178E6" w:rsidRDefault="00D178E6" w:rsidP="00D178E6">
      <w:pPr>
        <w:spacing w:line="360" w:lineRule="auto"/>
        <w:rPr>
          <w:b/>
          <w:bCs/>
          <w:sz w:val="28"/>
          <w:szCs w:val="28"/>
        </w:rPr>
      </w:pPr>
      <w:r w:rsidRPr="00D178E6">
        <w:rPr>
          <w:rFonts w:hint="eastAsia"/>
          <w:b/>
          <w:bCs/>
          <w:sz w:val="28"/>
          <w:szCs w:val="28"/>
        </w:rPr>
        <w:t>一、工作目标</w:t>
      </w:r>
    </w:p>
    <w:p w14:paraId="041F510B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1、工作思路</w:t>
      </w:r>
    </w:p>
    <w:p w14:paraId="4074D036" w14:textId="4C4C3376" w:rsidR="00D178E6" w:rsidRPr="00D178E6" w:rsidRDefault="00D178E6" w:rsidP="00D178E6">
      <w:pPr>
        <w:spacing w:line="360" w:lineRule="auto"/>
        <w:ind w:firstLineChars="200" w:firstLine="440"/>
      </w:pPr>
      <w:r w:rsidRPr="00D178E6">
        <w:rPr>
          <w:rFonts w:hint="eastAsia"/>
        </w:rPr>
        <w:t>2024级高二历史</w:t>
      </w:r>
      <w:proofErr w:type="gramStart"/>
      <w:r w:rsidRPr="00D178E6">
        <w:rPr>
          <w:rFonts w:hint="eastAsia"/>
        </w:rPr>
        <w:t>备课组</w:t>
      </w:r>
      <w:proofErr w:type="gramEnd"/>
      <w:r w:rsidRPr="00D178E6">
        <w:rPr>
          <w:rFonts w:hint="eastAsia"/>
        </w:rPr>
        <w:t>以</w:t>
      </w:r>
      <w:r>
        <w:rPr>
          <w:rFonts w:hint="eastAsia"/>
        </w:rPr>
        <w:t>上级相关部门</w:t>
      </w:r>
      <w:r w:rsidRPr="00D178E6">
        <w:rPr>
          <w:rFonts w:hint="eastAsia"/>
        </w:rPr>
        <w:t>计划中有关高二的具体要求为工作重点，科学研究，确保教学质量，尽最大努力保持选修班成绩稳定，争取在</w:t>
      </w:r>
      <w:r>
        <w:rPr>
          <w:rFonts w:hint="eastAsia"/>
        </w:rPr>
        <w:t>本学期的</w:t>
      </w:r>
      <w:r w:rsidRPr="00D178E6">
        <w:rPr>
          <w:rFonts w:hint="eastAsia"/>
        </w:rPr>
        <w:t>期中和期末</w:t>
      </w:r>
      <w:r>
        <w:rPr>
          <w:rFonts w:hint="eastAsia"/>
        </w:rPr>
        <w:t>联考</w:t>
      </w:r>
      <w:r w:rsidRPr="00D178E6">
        <w:rPr>
          <w:rFonts w:hint="eastAsia"/>
        </w:rPr>
        <w:t>中处于正常水平</w:t>
      </w:r>
      <w:r>
        <w:rPr>
          <w:rFonts w:hint="eastAsia"/>
        </w:rPr>
        <w:t>、并有所进步</w:t>
      </w:r>
      <w:r w:rsidRPr="00D178E6">
        <w:rPr>
          <w:rFonts w:hint="eastAsia"/>
        </w:rPr>
        <w:t>。</w:t>
      </w:r>
    </w:p>
    <w:p w14:paraId="5C6490D1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2、教学情况分析</w:t>
      </w:r>
    </w:p>
    <w:p w14:paraId="19147CAB" w14:textId="5C98DE93" w:rsidR="00D178E6" w:rsidRPr="00D178E6" w:rsidRDefault="00D178E6" w:rsidP="00D178E6">
      <w:pPr>
        <w:spacing w:line="360" w:lineRule="auto"/>
        <w:ind w:firstLineChars="200" w:firstLine="440"/>
      </w:pPr>
      <w:r w:rsidRPr="00D178E6">
        <w:rPr>
          <w:rFonts w:hint="eastAsia"/>
        </w:rPr>
        <w:t>本学期教学任务：</w:t>
      </w:r>
      <w:r>
        <w:rPr>
          <w:rFonts w:hint="eastAsia"/>
        </w:rPr>
        <w:t>期中考试前</w:t>
      </w:r>
      <w:r w:rsidRPr="00D178E6">
        <w:rPr>
          <w:rFonts w:hint="eastAsia"/>
        </w:rPr>
        <w:t>完成选择性必修三的新课教学</w:t>
      </w:r>
      <w:r>
        <w:rPr>
          <w:rFonts w:hint="eastAsia"/>
        </w:rPr>
        <w:t>，期中考试后开始</w:t>
      </w:r>
      <w:r w:rsidRPr="00D178E6">
        <w:rPr>
          <w:rFonts w:hint="eastAsia"/>
        </w:rPr>
        <w:t>一轮复习。本学期高二历史</w:t>
      </w:r>
      <w:proofErr w:type="gramStart"/>
      <w:r w:rsidRPr="00D178E6">
        <w:rPr>
          <w:rFonts w:hint="eastAsia"/>
        </w:rPr>
        <w:t>备课组</w:t>
      </w:r>
      <w:proofErr w:type="gramEnd"/>
      <w:r w:rsidRPr="00D178E6">
        <w:rPr>
          <w:rFonts w:hint="eastAsia"/>
        </w:rPr>
        <w:t>共3位教师，潘同同、吴海燕和詹昊。其中，潘同同、吴海燕每人负责2个班教学任务，詹昊负责1个班教学任务。</w:t>
      </w:r>
    </w:p>
    <w:p w14:paraId="41FF5E53" w14:textId="77777777" w:rsidR="00D178E6" w:rsidRPr="00D178E6" w:rsidRDefault="00D178E6" w:rsidP="00D178E6">
      <w:pPr>
        <w:spacing w:line="360" w:lineRule="auto"/>
        <w:rPr>
          <w:b/>
          <w:bCs/>
          <w:sz w:val="28"/>
          <w:szCs w:val="28"/>
        </w:rPr>
      </w:pPr>
      <w:r w:rsidRPr="00D178E6">
        <w:rPr>
          <w:rFonts w:hint="eastAsia"/>
          <w:b/>
          <w:bCs/>
          <w:sz w:val="28"/>
          <w:szCs w:val="28"/>
        </w:rPr>
        <w:t>二、主要措施</w:t>
      </w:r>
    </w:p>
    <w:p w14:paraId="7CD26473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1、加强集体备课</w:t>
      </w:r>
    </w:p>
    <w:p w14:paraId="61E34E24" w14:textId="0E0E07D1" w:rsidR="00D178E6" w:rsidRPr="00D178E6" w:rsidRDefault="00D178E6" w:rsidP="00D178E6">
      <w:pPr>
        <w:spacing w:line="360" w:lineRule="auto"/>
        <w:ind w:firstLineChars="200" w:firstLine="440"/>
      </w:pPr>
      <w:r w:rsidRPr="00D178E6">
        <w:rPr>
          <w:rFonts w:hint="eastAsia"/>
        </w:rPr>
        <w:t>首先，加强集体备课，将其落到实处。统一教学进度，统一作业，统一各项评析工作，相互学习，取长补短，共同努力，力求完成市区和学校下达的各项指标。</w:t>
      </w:r>
      <w:proofErr w:type="gramStart"/>
      <w:r w:rsidRPr="00D178E6">
        <w:rPr>
          <w:rFonts w:hint="eastAsia"/>
        </w:rPr>
        <w:t>备课组</w:t>
      </w:r>
      <w:proofErr w:type="gramEnd"/>
      <w:r w:rsidRPr="00D178E6">
        <w:rPr>
          <w:rFonts w:hint="eastAsia"/>
        </w:rPr>
        <w:t>成员就每一单元的教学内容、知识中的重点、难点、疑点、教学方法、教学材料的选择等加强研究，在教学中不断反思，不断改进。其次，在集体备课的基础上，强调每个老师结合各自教学特色就每一课内容备个案。发挥</w:t>
      </w:r>
      <w:proofErr w:type="gramStart"/>
      <w:r w:rsidRPr="00D178E6">
        <w:rPr>
          <w:rFonts w:hint="eastAsia"/>
        </w:rPr>
        <w:t>备课组</w:t>
      </w:r>
      <w:proofErr w:type="gramEnd"/>
      <w:r w:rsidRPr="00D178E6">
        <w:rPr>
          <w:rFonts w:hint="eastAsia"/>
        </w:rPr>
        <w:t>群体力量，集思广益，提高课堂的效率，加强对学生的学法指导。</w:t>
      </w:r>
    </w:p>
    <w:p w14:paraId="68399C55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2、练习做到精选、精练、精评</w:t>
      </w:r>
    </w:p>
    <w:p w14:paraId="058BEB91" w14:textId="6F9DA69F" w:rsidR="00D178E6" w:rsidRPr="00D178E6" w:rsidRDefault="00D178E6" w:rsidP="00D178E6">
      <w:pPr>
        <w:spacing w:line="360" w:lineRule="auto"/>
        <w:ind w:firstLineChars="200" w:firstLine="440"/>
      </w:pPr>
      <w:r w:rsidRPr="00D178E6">
        <w:rPr>
          <w:rFonts w:hint="eastAsia"/>
        </w:rPr>
        <w:t>作业</w:t>
      </w:r>
      <w:r>
        <w:rPr>
          <w:rFonts w:hint="eastAsia"/>
        </w:rPr>
        <w:t>布置</w:t>
      </w:r>
      <w:r w:rsidRPr="00D178E6">
        <w:rPr>
          <w:rFonts w:hint="eastAsia"/>
        </w:rPr>
        <w:t>精细化</w:t>
      </w:r>
      <w:r>
        <w:rPr>
          <w:rFonts w:hint="eastAsia"/>
        </w:rPr>
        <w:t>：</w:t>
      </w:r>
      <w:r w:rsidRPr="00D178E6">
        <w:rPr>
          <w:rFonts w:hint="eastAsia"/>
        </w:rPr>
        <w:t>教师预先做</w:t>
      </w:r>
      <w:r>
        <w:rPr>
          <w:rFonts w:hint="eastAsia"/>
        </w:rPr>
        <w:t>，</w:t>
      </w:r>
      <w:r w:rsidRPr="00D178E6">
        <w:rPr>
          <w:rFonts w:hint="eastAsia"/>
        </w:rPr>
        <w:t>未经筛选的习题不布置给学生；</w:t>
      </w:r>
      <w:r>
        <w:rPr>
          <w:rFonts w:hint="eastAsia"/>
        </w:rPr>
        <w:t>太难的题目、太简单的题目都不布置给学生。</w:t>
      </w:r>
      <w:r w:rsidRPr="00D178E6">
        <w:rPr>
          <w:rFonts w:hint="eastAsia"/>
        </w:rPr>
        <w:t>对于作业中</w:t>
      </w:r>
      <w:r>
        <w:rPr>
          <w:rFonts w:hint="eastAsia"/>
        </w:rPr>
        <w:t>出现</w:t>
      </w:r>
      <w:r w:rsidRPr="00D178E6">
        <w:rPr>
          <w:rFonts w:hint="eastAsia"/>
        </w:rPr>
        <w:t>的普遍问题，</w:t>
      </w:r>
      <w:r>
        <w:rPr>
          <w:rFonts w:hint="eastAsia"/>
        </w:rPr>
        <w:t>后面晚练进行同类题目的迁移训练</w:t>
      </w:r>
      <w:r w:rsidRPr="00D178E6">
        <w:rPr>
          <w:rFonts w:hint="eastAsia"/>
        </w:rPr>
        <w:t>。</w:t>
      </w:r>
      <w:r>
        <w:rPr>
          <w:rFonts w:hint="eastAsia"/>
        </w:rPr>
        <w:t>对布置给学生的所有作业</w:t>
      </w:r>
      <w:r w:rsidRPr="00D178E6">
        <w:rPr>
          <w:rFonts w:hint="eastAsia"/>
        </w:rPr>
        <w:t>及时批改、及时讲评。必须做到“有发必批，有批必评、及时反馈”，而且要做到全收全批，</w:t>
      </w:r>
      <w:r w:rsidR="00104F27">
        <w:rPr>
          <w:rFonts w:hint="eastAsia"/>
        </w:rPr>
        <w:t>不能按时提交作业的学生一定要及时去找他们、督促其保质保量完成。</w:t>
      </w:r>
    </w:p>
    <w:p w14:paraId="63D8C043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lastRenderedPageBreak/>
        <w:t>3、扎实搞好提优补差工作</w:t>
      </w:r>
    </w:p>
    <w:p w14:paraId="0D54B916" w14:textId="1498164C" w:rsidR="00D178E6" w:rsidRPr="00D178E6" w:rsidRDefault="00D178E6" w:rsidP="00104F27">
      <w:pPr>
        <w:spacing w:line="360" w:lineRule="auto"/>
        <w:ind w:firstLineChars="200" w:firstLine="440"/>
      </w:pPr>
      <w:r w:rsidRPr="00D178E6">
        <w:rPr>
          <w:rFonts w:hint="eastAsia"/>
        </w:rPr>
        <w:t>在新高考要求下，任课教师要关注班级整体成绩，对历史单科偏差的同学要个别辅导，对不同层次同学要分层指导，不轻易让一个同学掉队，不放弃每一分。</w:t>
      </w:r>
      <w:r w:rsidR="00104F27">
        <w:rPr>
          <w:rFonts w:hint="eastAsia"/>
        </w:rPr>
        <w:t>针对年级下达给各班的具体指标，做好历史学科的匹配工作，主动匹配。无论是本</w:t>
      </w:r>
      <w:proofErr w:type="gramStart"/>
      <w:r w:rsidR="00104F27">
        <w:rPr>
          <w:rFonts w:hint="eastAsia"/>
        </w:rPr>
        <w:t>一</w:t>
      </w:r>
      <w:proofErr w:type="gramEnd"/>
      <w:r w:rsidR="00104F27">
        <w:rPr>
          <w:rFonts w:hint="eastAsia"/>
        </w:rPr>
        <w:t>的优秀学生还是本科的普通学生，历史学科都不能拖后腿。</w:t>
      </w:r>
    </w:p>
    <w:p w14:paraId="064D464E" w14:textId="569C0ACA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4、加强教学资料库的建设</w:t>
      </w:r>
    </w:p>
    <w:p w14:paraId="5D8ED27C" w14:textId="18CA2B8D" w:rsidR="00D178E6" w:rsidRDefault="00D178E6" w:rsidP="00104F27">
      <w:pPr>
        <w:spacing w:line="360" w:lineRule="auto"/>
        <w:ind w:firstLineChars="200" w:firstLine="440"/>
      </w:pPr>
      <w:r w:rsidRPr="00D178E6">
        <w:rPr>
          <w:rFonts w:hint="eastAsia"/>
        </w:rPr>
        <w:t>本组教师把自己的教案、课件整理，形成自己的和</w:t>
      </w:r>
      <w:proofErr w:type="gramStart"/>
      <w:r w:rsidRPr="00D178E6">
        <w:rPr>
          <w:rFonts w:hint="eastAsia"/>
        </w:rPr>
        <w:t>备课组</w:t>
      </w:r>
      <w:proofErr w:type="gramEnd"/>
      <w:r w:rsidRPr="00D178E6">
        <w:rPr>
          <w:rFonts w:hint="eastAsia"/>
        </w:rPr>
        <w:t>的资料库，</w:t>
      </w:r>
      <w:r w:rsidR="00104F27">
        <w:rPr>
          <w:rFonts w:hint="eastAsia"/>
        </w:rPr>
        <w:t>利用网络平台（就比如</w:t>
      </w:r>
      <w:proofErr w:type="spellStart"/>
      <w:r w:rsidR="00104F27" w:rsidRPr="00104F27">
        <w:rPr>
          <w:rFonts w:hint="eastAsia"/>
          <w:b/>
          <w:bCs/>
        </w:rPr>
        <w:t>ima</w:t>
      </w:r>
      <w:proofErr w:type="spellEnd"/>
      <w:r w:rsidR="00104F27">
        <w:rPr>
          <w:rFonts w:hint="eastAsia"/>
        </w:rPr>
        <w:t>），构建南京市秦</w:t>
      </w:r>
      <w:proofErr w:type="gramStart"/>
      <w:r w:rsidR="00104F27">
        <w:rPr>
          <w:rFonts w:hint="eastAsia"/>
        </w:rPr>
        <w:t>淮中学</w:t>
      </w:r>
      <w:proofErr w:type="gramEnd"/>
      <w:r w:rsidR="00104F27">
        <w:rPr>
          <w:rFonts w:hint="eastAsia"/>
        </w:rPr>
        <w:t>高二历史组的资料库，日积月累，形成具有自身特色的资料库。一方面方便</w:t>
      </w:r>
      <w:r w:rsidRPr="00D178E6">
        <w:rPr>
          <w:rFonts w:hint="eastAsia"/>
        </w:rPr>
        <w:t>下一届教师借鉴和使用</w:t>
      </w:r>
      <w:r w:rsidR="00104F27">
        <w:rPr>
          <w:rFonts w:hint="eastAsia"/>
        </w:rPr>
        <w:t>，另一方面提升</w:t>
      </w:r>
      <w:proofErr w:type="gramStart"/>
      <w:r w:rsidR="00104F27">
        <w:rPr>
          <w:rFonts w:hint="eastAsia"/>
        </w:rPr>
        <w:t>备课组</w:t>
      </w:r>
      <w:proofErr w:type="gramEnd"/>
      <w:r w:rsidR="00104F27">
        <w:rPr>
          <w:rFonts w:hint="eastAsia"/>
        </w:rPr>
        <w:t>教师的教研水平</w:t>
      </w:r>
      <w:r w:rsidRPr="00D178E6">
        <w:rPr>
          <w:rFonts w:hint="eastAsia"/>
        </w:rPr>
        <w:t>。</w:t>
      </w:r>
    </w:p>
    <w:p w14:paraId="50C3DEA7" w14:textId="3B56DCDF" w:rsidR="00104F27" w:rsidRDefault="00104F27" w:rsidP="00104F27">
      <w:pPr>
        <w:spacing w:line="360" w:lineRule="auto"/>
        <w:rPr>
          <w:b/>
          <w:bCs/>
          <w:sz w:val="24"/>
        </w:rPr>
      </w:pPr>
      <w:r w:rsidRPr="00104F27">
        <w:rPr>
          <w:rFonts w:hint="eastAsia"/>
          <w:b/>
          <w:bCs/>
          <w:sz w:val="24"/>
        </w:rPr>
        <w:t>5.注重青年教师培养</w:t>
      </w:r>
    </w:p>
    <w:p w14:paraId="142E7DC8" w14:textId="7332E3A1" w:rsidR="00104F27" w:rsidRPr="00D178E6" w:rsidRDefault="00104F27" w:rsidP="007757F3">
      <w:pPr>
        <w:spacing w:line="360" w:lineRule="auto"/>
        <w:ind w:firstLineChars="200" w:firstLine="440"/>
        <w:rPr>
          <w:rFonts w:hint="eastAsia"/>
        </w:rPr>
      </w:pPr>
      <w:r w:rsidRPr="007757F3">
        <w:rPr>
          <w:rFonts w:hint="eastAsia"/>
        </w:rPr>
        <w:t>本学期，要加强自身教科研和教学能力的提升，无论是刚工作不久的詹浩老师，还是工作一段时间的吴海燕和潘同同老师。针对詹浩老师，需要督促她</w:t>
      </w:r>
      <w:r w:rsidR="007757F3">
        <w:rPr>
          <w:rFonts w:hint="eastAsia"/>
        </w:rPr>
        <w:t>多写论文参赛、</w:t>
      </w:r>
      <w:r w:rsidRPr="007757F3">
        <w:rPr>
          <w:rFonts w:hint="eastAsia"/>
        </w:rPr>
        <w:t>多做高考题、多开组内公开课、多去</w:t>
      </w:r>
      <w:proofErr w:type="gramStart"/>
      <w:r w:rsidRPr="007757F3">
        <w:rPr>
          <w:rFonts w:hint="eastAsia"/>
        </w:rPr>
        <w:t>听优秀</w:t>
      </w:r>
      <w:proofErr w:type="gramEnd"/>
      <w:r w:rsidRPr="007757F3">
        <w:rPr>
          <w:rFonts w:hint="eastAsia"/>
        </w:rPr>
        <w:t>教师</w:t>
      </w:r>
      <w:r w:rsidR="007757F3">
        <w:rPr>
          <w:rFonts w:hint="eastAsia"/>
        </w:rPr>
        <w:t>的</w:t>
      </w:r>
      <w:r w:rsidR="007757F3" w:rsidRPr="007757F3">
        <w:rPr>
          <w:rFonts w:hint="eastAsia"/>
        </w:rPr>
        <w:t>课，尽快成长起来，顺利进入高三，把高中三年完整的带一轮。</w:t>
      </w:r>
      <w:r w:rsidR="007757F3">
        <w:rPr>
          <w:rFonts w:hint="eastAsia"/>
        </w:rPr>
        <w:t>吴老师和潘老师作为中青年教师，也不能放松对自身要求，要多看书、多写文章，有机会也要多出去参赛、争取更大的进步。</w:t>
      </w:r>
    </w:p>
    <w:p w14:paraId="4B2DC912" w14:textId="77777777" w:rsidR="00D178E6" w:rsidRPr="00D178E6" w:rsidRDefault="00D178E6" w:rsidP="00D178E6">
      <w:pPr>
        <w:spacing w:line="360" w:lineRule="auto"/>
        <w:rPr>
          <w:b/>
          <w:bCs/>
          <w:sz w:val="28"/>
          <w:szCs w:val="28"/>
        </w:rPr>
      </w:pPr>
      <w:r w:rsidRPr="00D178E6">
        <w:rPr>
          <w:rFonts w:hint="eastAsia"/>
          <w:b/>
          <w:bCs/>
          <w:sz w:val="28"/>
          <w:szCs w:val="28"/>
        </w:rPr>
        <w:t>三、具体分工和活动安排</w:t>
      </w:r>
    </w:p>
    <w:p w14:paraId="36879234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1、任务分工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="00D178E6" w:rsidRPr="00D178E6" w14:paraId="53A14CB9" w14:textId="77777777" w:rsidTr="00104F27">
        <w:trPr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00A67E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姓名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FFDBD5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任务</w:t>
            </w:r>
          </w:p>
        </w:tc>
      </w:tr>
      <w:tr w:rsidR="00D178E6" w:rsidRPr="00D178E6" w14:paraId="42784C7E" w14:textId="77777777" w:rsidTr="00104F27">
        <w:trPr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0946F2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潘同同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F3A7C6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假期作业、课件制作与修改</w:t>
            </w:r>
          </w:p>
        </w:tc>
      </w:tr>
      <w:tr w:rsidR="00D178E6" w:rsidRPr="00D178E6" w14:paraId="29916C5D" w14:textId="77777777" w:rsidTr="00104F27">
        <w:trPr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1B5777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吴海燕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F733F7" w14:textId="6F52FC92" w:rsidR="00D178E6" w:rsidRPr="00D178E6" w:rsidRDefault="00104F27" w:rsidP="00104F27">
            <w:pPr>
              <w:spacing w:line="360" w:lineRule="auto"/>
              <w:jc w:val="center"/>
            </w:pPr>
            <w:r>
              <w:rPr>
                <w:rFonts w:hint="eastAsia"/>
              </w:rPr>
              <w:t>默写、</w:t>
            </w:r>
            <w:r w:rsidR="00D178E6" w:rsidRPr="00D178E6">
              <w:rPr>
                <w:rFonts w:hint="eastAsia"/>
              </w:rPr>
              <w:t>课件制作、试卷审核</w:t>
            </w:r>
          </w:p>
        </w:tc>
      </w:tr>
      <w:tr w:rsidR="00D178E6" w:rsidRPr="00D178E6" w14:paraId="4FECD78A" w14:textId="77777777" w:rsidTr="00104F27">
        <w:trPr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6F943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詹昊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55222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晚练、错题归纳整理</w:t>
            </w:r>
          </w:p>
        </w:tc>
      </w:tr>
    </w:tbl>
    <w:p w14:paraId="4C15A645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2、教学进度</w:t>
      </w:r>
    </w:p>
    <w:tbl>
      <w:tblPr>
        <w:tblW w:w="7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5355"/>
      </w:tblGrid>
      <w:tr w:rsidR="00D178E6" w:rsidRPr="00D178E6" w14:paraId="4A44BB76" w14:textId="77777777" w:rsidTr="00104F27">
        <w:trPr>
          <w:trHeight w:val="195"/>
          <w:jc w:val="center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87670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lastRenderedPageBreak/>
              <w:t>周次</w:t>
            </w:r>
          </w:p>
        </w:tc>
        <w:tc>
          <w:tcPr>
            <w:tcW w:w="535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75048A90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教学内容</w:t>
            </w:r>
          </w:p>
        </w:tc>
      </w:tr>
      <w:tr w:rsidR="00D178E6" w:rsidRPr="00D178E6" w14:paraId="5EDB0373" w14:textId="77777777" w:rsidTr="00104F27">
        <w:trPr>
          <w:trHeight w:val="3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86F2A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0F2D7B2C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选择性必修三第一单元</w:t>
            </w:r>
          </w:p>
        </w:tc>
      </w:tr>
      <w:tr w:rsidR="00D178E6" w:rsidRPr="00D178E6" w14:paraId="4727E83D" w14:textId="77777777" w:rsidTr="00104F27">
        <w:trPr>
          <w:trHeight w:val="345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04306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第2周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57B7F467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选择性必修三第二单元</w:t>
            </w:r>
          </w:p>
        </w:tc>
      </w:tr>
      <w:tr w:rsidR="00D178E6" w:rsidRPr="00D178E6" w14:paraId="33BD704E" w14:textId="77777777" w:rsidTr="00104F27">
        <w:trPr>
          <w:trHeight w:val="405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53750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第3周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2027D906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选择性必修三第三单元</w:t>
            </w:r>
          </w:p>
        </w:tc>
      </w:tr>
      <w:tr w:rsidR="00D178E6" w:rsidRPr="00D178E6" w14:paraId="345A8958" w14:textId="77777777" w:rsidTr="00104F27">
        <w:trPr>
          <w:trHeight w:val="39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A31DD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第4周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21A79060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选择性必修三第四单元</w:t>
            </w:r>
          </w:p>
        </w:tc>
      </w:tr>
      <w:tr w:rsidR="00D178E6" w:rsidRPr="00D178E6" w14:paraId="144BDA0E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FFA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第5周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77F88679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月考、试卷讲解</w:t>
            </w:r>
          </w:p>
        </w:tc>
      </w:tr>
      <w:tr w:rsidR="00D178E6" w:rsidRPr="00D178E6" w14:paraId="15B3190F" w14:textId="77777777" w:rsidTr="00104F27">
        <w:trPr>
          <w:trHeight w:val="39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8F592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第6周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35F1BB81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选择性必修三第五单元</w:t>
            </w:r>
          </w:p>
        </w:tc>
      </w:tr>
      <w:tr w:rsidR="00D178E6" w:rsidRPr="00D178E6" w14:paraId="50C2038B" w14:textId="77777777" w:rsidTr="00104F27">
        <w:trPr>
          <w:trHeight w:val="39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51C15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第7周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14A31DFC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选择性必修三第六单元</w:t>
            </w:r>
          </w:p>
        </w:tc>
      </w:tr>
      <w:tr w:rsidR="00D178E6" w:rsidRPr="00D178E6" w14:paraId="61F0A53F" w14:textId="77777777" w:rsidTr="00104F27">
        <w:trPr>
          <w:trHeight w:val="39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0ED1C6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第8周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59927072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迎接期中考试</w:t>
            </w:r>
          </w:p>
        </w:tc>
      </w:tr>
      <w:tr w:rsidR="00D178E6" w:rsidRPr="00D178E6" w14:paraId="12B73018" w14:textId="77777777" w:rsidTr="00104F27">
        <w:trPr>
          <w:trHeight w:val="39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047F0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第9、10周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6DD4AB29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期中复习与五一假期</w:t>
            </w:r>
          </w:p>
        </w:tc>
      </w:tr>
      <w:tr w:rsidR="00D178E6" w:rsidRPr="00D178E6" w14:paraId="3CF871F3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CC749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第11周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1D3608B3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一轮复习：纲要上1-3课</w:t>
            </w:r>
          </w:p>
        </w:tc>
      </w:tr>
      <w:tr w:rsidR="00D178E6" w:rsidRPr="00D178E6" w14:paraId="55659572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85697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第12周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665E9421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一轮复习：纲要上4-5课</w:t>
            </w:r>
          </w:p>
        </w:tc>
      </w:tr>
      <w:tr w:rsidR="00D178E6" w:rsidRPr="00D178E6" w14:paraId="4C9E29F3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31FFD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第13周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1F8F0421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一轮复习：纲要上6-8课</w:t>
            </w:r>
          </w:p>
        </w:tc>
      </w:tr>
      <w:tr w:rsidR="00D178E6" w:rsidRPr="00D178E6" w14:paraId="3FD29F89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C1F73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第14周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4E0F6641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一轮复习：纲要上9-11课</w:t>
            </w:r>
          </w:p>
        </w:tc>
      </w:tr>
      <w:tr w:rsidR="00D178E6" w:rsidRPr="00D178E6" w14:paraId="709C56D8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F0F08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第15周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24306B97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一轮复习：纲要上12-14课</w:t>
            </w:r>
          </w:p>
        </w:tc>
      </w:tr>
      <w:tr w:rsidR="00D178E6" w:rsidRPr="00D178E6" w14:paraId="77B0245E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C9840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第16周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3629ABCA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期末复习</w:t>
            </w:r>
          </w:p>
        </w:tc>
      </w:tr>
      <w:tr w:rsidR="00D178E6" w:rsidRPr="00D178E6" w14:paraId="6060C4A1" w14:textId="77777777" w:rsidTr="00104F27">
        <w:trPr>
          <w:trHeight w:val="36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02EFF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第17周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hideMark/>
          </w:tcPr>
          <w:p w14:paraId="59C7C86C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期末复习与考试</w:t>
            </w:r>
          </w:p>
        </w:tc>
      </w:tr>
    </w:tbl>
    <w:p w14:paraId="7B6435D1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3、具体活动：</w:t>
      </w:r>
    </w:p>
    <w:p w14:paraId="4E719141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A、推磨听课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275"/>
        <w:gridCol w:w="990"/>
        <w:gridCol w:w="705"/>
        <w:gridCol w:w="990"/>
        <w:gridCol w:w="4395"/>
      </w:tblGrid>
      <w:tr w:rsidR="00D178E6" w:rsidRPr="00D178E6" w14:paraId="4F9E742D" w14:textId="77777777" w:rsidTr="00104F27">
        <w:trPr>
          <w:trHeight w:val="34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E4E0A" w14:textId="77777777" w:rsidR="00D178E6" w:rsidRPr="00D178E6" w:rsidRDefault="00D178E6" w:rsidP="00104F27">
            <w:pPr>
              <w:spacing w:line="360" w:lineRule="auto"/>
              <w:jc w:val="center"/>
            </w:pPr>
            <w:bookmarkStart w:id="0" w:name="_Hlk49266960"/>
            <w:bookmarkEnd w:id="0"/>
            <w:r w:rsidRPr="00D178E6">
              <w:rPr>
                <w:rFonts w:hint="eastAsia"/>
              </w:rPr>
              <w:t>周次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D742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时间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73A2E21B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授课人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90BA3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主评人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1DD0405D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班级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5941E296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开课内容</w:t>
            </w:r>
          </w:p>
        </w:tc>
      </w:tr>
      <w:tr w:rsidR="00D178E6" w:rsidRPr="00D178E6" w14:paraId="6C422561" w14:textId="77777777" w:rsidTr="00104F27">
        <w:trPr>
          <w:trHeight w:val="33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DBBA77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D3215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3月19日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17C73B14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潘同同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233E0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吴海燕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0DFCE867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高二</w:t>
            </w:r>
            <w:proofErr w:type="gramStart"/>
            <w:r w:rsidRPr="00D178E6">
              <w:rPr>
                <w:rFonts w:hint="eastAsia"/>
              </w:rPr>
              <w:t>11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3A6C6A98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第6课 古代人类的迁徙和区域文化的形成</w:t>
            </w:r>
          </w:p>
        </w:tc>
      </w:tr>
      <w:tr w:rsidR="00D178E6" w:rsidRPr="00D178E6" w14:paraId="71FAE228" w14:textId="77777777" w:rsidTr="00104F27">
        <w:trPr>
          <w:trHeight w:val="30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A0E41D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BF955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4月16日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1E79390D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吴海燕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E7546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潘同同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1335D832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高二</w:t>
            </w:r>
            <w:proofErr w:type="gramStart"/>
            <w:r w:rsidRPr="00D178E6">
              <w:rPr>
                <w:rFonts w:hint="eastAsia"/>
              </w:rPr>
              <w:t>13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13B3C0DF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第14课  文化传承的多种载体及其发展</w:t>
            </w:r>
          </w:p>
        </w:tc>
      </w:tr>
      <w:tr w:rsidR="00D178E6" w:rsidRPr="00D178E6" w14:paraId="7659C6B0" w14:textId="77777777" w:rsidTr="00104F27">
        <w:trPr>
          <w:trHeight w:val="30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C30CBF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CCABD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5月21日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6C8A75D8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詹昊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7E0B9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潘同同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72D4D96B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高二</w:t>
            </w:r>
            <w:proofErr w:type="gramStart"/>
            <w:r w:rsidRPr="00D178E6">
              <w:rPr>
                <w:rFonts w:hint="eastAsia"/>
              </w:rPr>
              <w:t>12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6AA5D142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一轮复习：第4课 西汉与东汉——统一多民族封建国家的巩固</w:t>
            </w:r>
          </w:p>
        </w:tc>
      </w:tr>
      <w:tr w:rsidR="00D178E6" w:rsidRPr="00D178E6" w14:paraId="46B65420" w14:textId="77777777" w:rsidTr="00104F27">
        <w:trPr>
          <w:trHeight w:val="33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28357C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A98D773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6月18日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148E24EE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潘同同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C2B833F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吴海燕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1C56D7FD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高二</w:t>
            </w:r>
            <w:proofErr w:type="gramStart"/>
            <w:r w:rsidRPr="00D178E6">
              <w:rPr>
                <w:rFonts w:hint="eastAsia"/>
              </w:rPr>
              <w:t>14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4AA8BF0E" w14:textId="77777777" w:rsidR="00D178E6" w:rsidRPr="00D178E6" w:rsidRDefault="00D178E6" w:rsidP="00104F27">
            <w:pPr>
              <w:spacing w:line="360" w:lineRule="auto"/>
              <w:jc w:val="center"/>
            </w:pPr>
            <w:r w:rsidRPr="00D178E6">
              <w:rPr>
                <w:rFonts w:hint="eastAsia"/>
              </w:rPr>
              <w:t>一轮复习：第13课 清朝前中期的鼎盛与危机</w:t>
            </w:r>
          </w:p>
        </w:tc>
      </w:tr>
    </w:tbl>
    <w:p w14:paraId="5BC639DF" w14:textId="77777777" w:rsidR="00D178E6" w:rsidRPr="00D178E6" w:rsidRDefault="00D178E6" w:rsidP="00D178E6">
      <w:pPr>
        <w:spacing w:line="360" w:lineRule="auto"/>
        <w:rPr>
          <w:b/>
          <w:bCs/>
          <w:sz w:val="24"/>
        </w:rPr>
      </w:pPr>
      <w:r w:rsidRPr="00D178E6">
        <w:rPr>
          <w:rFonts w:hint="eastAsia"/>
          <w:b/>
          <w:bCs/>
          <w:sz w:val="24"/>
        </w:rPr>
        <w:t>B、集体备课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8"/>
        <w:gridCol w:w="855"/>
        <w:gridCol w:w="3892"/>
      </w:tblGrid>
      <w:tr w:rsidR="00D178E6" w:rsidRPr="00D178E6" w14:paraId="2FA0F8AF" w14:textId="77777777" w:rsidTr="00104F27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70F94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周次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D8C5D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时间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04CE9F56" w14:textId="77777777" w:rsidR="00D178E6" w:rsidRPr="00D178E6" w:rsidRDefault="00D178E6" w:rsidP="00D178E6">
            <w:pPr>
              <w:spacing w:line="360" w:lineRule="auto"/>
            </w:pPr>
            <w:proofErr w:type="gramStart"/>
            <w:r w:rsidRPr="00D178E6">
              <w:rPr>
                <w:rFonts w:hint="eastAsia"/>
              </w:rPr>
              <w:t>主备人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05C347AA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备课内容</w:t>
            </w:r>
          </w:p>
        </w:tc>
      </w:tr>
      <w:tr w:rsidR="00D178E6" w:rsidRPr="00D178E6" w14:paraId="52DB65FD" w14:textId="77777777" w:rsidTr="00104F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7126B1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63B55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3月12日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037ED5FE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潘同同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33E427E6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第5课 南亚、东亚与美洲的文化</w:t>
            </w:r>
          </w:p>
        </w:tc>
      </w:tr>
      <w:tr w:rsidR="00D178E6" w:rsidRPr="00D178E6" w14:paraId="6421055A" w14:textId="77777777" w:rsidTr="00104F27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E48708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D1BDD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4月9日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56C2E4F2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吴海燕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0DD5F4E7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第12课 近代战争与不同文化的扩展</w:t>
            </w:r>
          </w:p>
        </w:tc>
      </w:tr>
      <w:tr w:rsidR="00D178E6" w:rsidRPr="00D178E6" w14:paraId="70D0FA94" w14:textId="77777777" w:rsidTr="00104F27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D739D1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1E4E3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5月14日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4746A9C3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詹昊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7CEB7ABF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一轮复习 第2课 诸侯纷争与变法运动</w:t>
            </w:r>
          </w:p>
        </w:tc>
      </w:tr>
      <w:tr w:rsidR="00D178E6" w:rsidRPr="00D178E6" w14:paraId="45B50638" w14:textId="77777777" w:rsidTr="00104F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29F016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FEC3A43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6月4日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7483CDA4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潘同同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90" w:type="dxa"/>
            </w:tcMar>
            <w:vAlign w:val="center"/>
            <w:hideMark/>
          </w:tcPr>
          <w:p w14:paraId="7F74FA58" w14:textId="77777777" w:rsidR="00D178E6" w:rsidRPr="00D178E6" w:rsidRDefault="00D178E6" w:rsidP="00D178E6">
            <w:pPr>
              <w:spacing w:line="360" w:lineRule="auto"/>
            </w:pPr>
            <w:r w:rsidRPr="00D178E6">
              <w:rPr>
                <w:rFonts w:hint="eastAsia"/>
              </w:rPr>
              <w:t>一轮复习 第9课 两宋的政治和军事</w:t>
            </w:r>
          </w:p>
        </w:tc>
      </w:tr>
    </w:tbl>
    <w:p w14:paraId="4CBC5CBF" w14:textId="77777777" w:rsidR="00D178E6" w:rsidRPr="00D178E6" w:rsidRDefault="00D178E6" w:rsidP="00D178E6">
      <w:pPr>
        <w:spacing w:line="360" w:lineRule="auto"/>
      </w:pPr>
      <w:r w:rsidRPr="00D178E6">
        <w:rPr>
          <w:rFonts w:hint="eastAsia"/>
        </w:rPr>
        <w:t> </w:t>
      </w:r>
    </w:p>
    <w:p w14:paraId="259D4C73" w14:textId="77777777" w:rsidR="002C1A01" w:rsidRPr="00D178E6" w:rsidRDefault="002C1A01" w:rsidP="00D178E6">
      <w:pPr>
        <w:spacing w:line="360" w:lineRule="auto"/>
        <w:rPr>
          <w:rFonts w:hint="eastAsia"/>
        </w:rPr>
      </w:pPr>
    </w:p>
    <w:sectPr w:rsidR="002C1A01" w:rsidRPr="00D1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E6"/>
    <w:rsid w:val="00104F27"/>
    <w:rsid w:val="002C1A01"/>
    <w:rsid w:val="007757F3"/>
    <w:rsid w:val="008A44E6"/>
    <w:rsid w:val="00980B8F"/>
    <w:rsid w:val="00D178E6"/>
    <w:rsid w:val="00E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D659"/>
  <w15:chartTrackingRefBased/>
  <w15:docId w15:val="{A77599E9-9ABF-401C-839A-7B21060C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E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4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4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4E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4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4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4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2026-04-27T23:05:00Z</dcterms:created>
  <dcterms:modified xsi:type="dcterms:W3CDTF">2026-04-27T23:05:00Z</dcterms:modified>
</cp:coreProperties>
</file>